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附件二：</w:t>
      </w:r>
    </w:p>
    <w:p>
      <w:pPr>
        <w:spacing w:line="360" w:lineRule="auto"/>
        <w:jc w:val="center"/>
        <w:rPr>
          <w:rFonts w:ascii="宋体" w:hAnsi="宋体"/>
          <w:b/>
          <w:bCs/>
          <w:sz w:val="36"/>
          <w:szCs w:val="36"/>
        </w:rPr>
      </w:pPr>
      <w:r>
        <w:rPr>
          <w:rFonts w:hint="eastAsia" w:ascii="宋体" w:hAnsi="宋体"/>
          <w:b/>
          <w:bCs/>
          <w:sz w:val="36"/>
          <w:szCs w:val="36"/>
        </w:rPr>
        <w:t>清城区住房和城乡建设局</w:t>
      </w:r>
    </w:p>
    <w:p>
      <w:pPr>
        <w:spacing w:line="360" w:lineRule="auto"/>
        <w:jc w:val="center"/>
        <w:rPr>
          <w:rFonts w:ascii="宋体" w:hAnsi="宋体"/>
          <w:b/>
          <w:bCs/>
          <w:sz w:val="36"/>
          <w:szCs w:val="36"/>
        </w:rPr>
      </w:pPr>
      <w:bookmarkStart w:id="0" w:name="_GoBack"/>
      <w:r>
        <w:rPr>
          <w:rFonts w:hint="eastAsia" w:ascii="宋体" w:hAnsi="宋体"/>
          <w:b/>
          <w:bCs/>
          <w:sz w:val="36"/>
          <w:szCs w:val="36"/>
        </w:rPr>
        <w:t>消防设计审查、消防验收受理范围</w:t>
      </w:r>
      <w:bookmarkEnd w:id="0"/>
    </w:p>
    <w:p>
      <w:pPr>
        <w:snapToGrid w:val="0"/>
        <w:spacing w:line="360" w:lineRule="auto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一、具有下列情况之一的大型人员密集场所：</w:t>
      </w:r>
    </w:p>
    <w:p>
      <w:pPr>
        <w:snapToGrid w:val="0"/>
        <w:spacing w:line="360" w:lineRule="auto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1.建筑总面积大于500 m</w:t>
      </w:r>
      <w:r>
        <w:rPr>
          <w:rFonts w:hint="eastAsia" w:ascii="仿宋" w:hAnsi="仿宋" w:eastAsia="仿宋" w:cs="宋体"/>
          <w:kern w:val="0"/>
          <w:sz w:val="32"/>
          <w:szCs w:val="32"/>
          <w:vertAlign w:val="superscript"/>
        </w:rPr>
        <w:t>2</w:t>
      </w:r>
      <w:r>
        <w:rPr>
          <w:rFonts w:hint="eastAsia" w:ascii="仿宋" w:hAnsi="仿宋" w:eastAsia="仿宋" w:cs="宋体"/>
          <w:kern w:val="0"/>
          <w:sz w:val="32"/>
          <w:szCs w:val="32"/>
        </w:rPr>
        <w:t>的：</w:t>
      </w:r>
    </w:p>
    <w:p>
      <w:pPr>
        <w:snapToGrid w:val="0"/>
        <w:spacing w:line="360" w:lineRule="auto"/>
        <w:ind w:left="320" w:hanging="320" w:hangingChars="100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宋体" w:hAnsi="宋体" w:eastAsia="仿宋" w:cs="宋体"/>
          <w:kern w:val="0"/>
          <w:sz w:val="32"/>
          <w:szCs w:val="32"/>
        </w:rPr>
        <w:t> </w:t>
      </w: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□歌舞厅   □录像厅  □放映厅  □卡拉OK厅  □夜总会 </w:t>
      </w:r>
      <w:r>
        <w:rPr>
          <w:rFonts w:hint="eastAsia" w:ascii="宋体" w:hAnsi="宋体" w:eastAsia="仿宋" w:cs="宋体"/>
          <w:kern w:val="0"/>
          <w:sz w:val="32"/>
          <w:szCs w:val="32"/>
        </w:rPr>
        <w:t> </w:t>
      </w:r>
      <w:r>
        <w:rPr>
          <w:rFonts w:hint="eastAsia" w:ascii="仿宋" w:hAnsi="仿宋" w:eastAsia="仿宋" w:cs="宋体"/>
          <w:kern w:val="0"/>
          <w:sz w:val="32"/>
          <w:szCs w:val="32"/>
        </w:rPr>
        <w:t>□游艺厅  □桑拿浴室  □网吧  □酒吧  □具有娱乐功能的餐馆</w:t>
      </w:r>
      <w:r>
        <w:rPr>
          <w:rFonts w:hint="eastAsia" w:ascii="宋体" w:hAnsi="宋体" w:eastAsia="仿宋" w:cs="宋体"/>
          <w:kern w:val="0"/>
          <w:sz w:val="32"/>
          <w:szCs w:val="32"/>
        </w:rPr>
        <w:t> </w:t>
      </w: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</w:t>
      </w:r>
      <w:r>
        <w:rPr>
          <w:rFonts w:hint="eastAsia" w:ascii="仿宋" w:hAnsi="仿宋" w:eastAsia="仿宋" w:cs="宋体"/>
          <w:kern w:val="0"/>
          <w:sz w:val="32"/>
          <w:szCs w:val="32"/>
        </w:rPr>
        <w:t>□具有娱乐功能的茶馆</w:t>
      </w:r>
      <w:r>
        <w:rPr>
          <w:rFonts w:hint="eastAsia" w:ascii="宋体" w:hAnsi="宋体" w:eastAsia="仿宋" w:cs="宋体"/>
          <w:kern w:val="0"/>
          <w:sz w:val="32"/>
          <w:szCs w:val="32"/>
        </w:rPr>
        <w:t> </w:t>
      </w: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</w:t>
      </w:r>
      <w:r>
        <w:rPr>
          <w:rFonts w:hint="eastAsia" w:ascii="仿宋" w:hAnsi="仿宋" w:eastAsia="仿宋" w:cs="宋体"/>
          <w:kern w:val="0"/>
          <w:sz w:val="32"/>
          <w:szCs w:val="32"/>
        </w:rPr>
        <w:t>□具有娱乐功能的咖啡厅</w:t>
      </w:r>
    </w:p>
    <w:p>
      <w:pPr>
        <w:snapToGrid w:val="0"/>
        <w:spacing w:line="360" w:lineRule="auto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2.建筑总面积大于1000 m</w:t>
      </w:r>
      <w:r>
        <w:rPr>
          <w:rFonts w:hint="eastAsia" w:ascii="仿宋" w:hAnsi="仿宋" w:eastAsia="仿宋" w:cs="宋体"/>
          <w:kern w:val="0"/>
          <w:sz w:val="32"/>
          <w:szCs w:val="32"/>
          <w:vertAlign w:val="superscript"/>
        </w:rPr>
        <w:t>2</w:t>
      </w:r>
      <w:r>
        <w:rPr>
          <w:rFonts w:hint="eastAsia" w:ascii="仿宋" w:hAnsi="仿宋" w:eastAsia="仿宋" w:cs="宋体"/>
          <w:kern w:val="0"/>
          <w:sz w:val="32"/>
          <w:szCs w:val="32"/>
        </w:rPr>
        <w:t>的：</w:t>
      </w:r>
    </w:p>
    <w:p>
      <w:pPr>
        <w:snapToGrid w:val="0"/>
        <w:spacing w:line="360" w:lineRule="auto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  □托儿所的儿童用房    □幼儿园的儿童用房    □中小学校的教学楼</w:t>
      </w:r>
    </w:p>
    <w:p>
      <w:pPr>
        <w:snapToGrid w:val="0"/>
        <w:spacing w:line="360" w:lineRule="auto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宋体" w:hAnsi="宋体" w:eastAsia="仿宋" w:cs="宋体"/>
          <w:kern w:val="0"/>
          <w:sz w:val="32"/>
          <w:szCs w:val="32"/>
        </w:rPr>
        <w:t> </w:t>
      </w: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□中小学校的图书馆  </w:t>
      </w:r>
      <w:r>
        <w:rPr>
          <w:rFonts w:hint="eastAsia" w:ascii="宋体" w:hAnsi="宋体" w:eastAsia="仿宋" w:cs="宋体"/>
          <w:kern w:val="0"/>
          <w:sz w:val="32"/>
          <w:szCs w:val="32"/>
        </w:rPr>
        <w:t> </w:t>
      </w:r>
      <w:r>
        <w:rPr>
          <w:rFonts w:hint="eastAsia" w:ascii="仿宋" w:hAnsi="仿宋" w:eastAsia="仿宋" w:cs="宋体"/>
          <w:kern w:val="0"/>
          <w:sz w:val="32"/>
          <w:szCs w:val="32"/>
        </w:rPr>
        <w:t>□中小学校的食堂      □学校的集体宿舍</w:t>
      </w:r>
    </w:p>
    <w:p>
      <w:pPr>
        <w:snapToGrid w:val="0"/>
        <w:spacing w:line="360" w:lineRule="auto"/>
        <w:ind w:firstLine="320" w:firstLineChars="100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□儿童游乐厅    □其他室内儿童活动场所    □养老院    □福利院</w:t>
      </w:r>
    </w:p>
    <w:p>
      <w:pPr>
        <w:snapToGrid w:val="0"/>
        <w:spacing w:line="360" w:lineRule="auto"/>
        <w:ind w:firstLine="320" w:firstLineChars="100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□医院的病房楼    □疗养院的病房楼</w:t>
      </w:r>
    </w:p>
    <w:p>
      <w:pPr>
        <w:snapToGrid w:val="0"/>
        <w:spacing w:line="360" w:lineRule="auto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3.建筑总面积大于2500 m</w:t>
      </w:r>
      <w:r>
        <w:rPr>
          <w:rFonts w:hint="eastAsia" w:ascii="仿宋" w:hAnsi="仿宋" w:eastAsia="仿宋" w:cs="宋体"/>
          <w:kern w:val="0"/>
          <w:sz w:val="32"/>
          <w:szCs w:val="32"/>
          <w:vertAlign w:val="superscript"/>
        </w:rPr>
        <w:t>2</w:t>
      </w:r>
      <w:r>
        <w:rPr>
          <w:rFonts w:hint="eastAsia" w:ascii="仿宋" w:hAnsi="仿宋" w:eastAsia="仿宋" w:cs="宋体"/>
          <w:kern w:val="0"/>
          <w:sz w:val="32"/>
          <w:szCs w:val="32"/>
        </w:rPr>
        <w:t>的劳动密集型企业的生产加工车间</w:t>
      </w:r>
    </w:p>
    <w:p>
      <w:pPr>
        <w:snapToGrid w:val="0"/>
        <w:spacing w:line="360" w:lineRule="auto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4.建筑总面积大于1000 m</w:t>
      </w:r>
      <w:r>
        <w:rPr>
          <w:rFonts w:hint="eastAsia" w:ascii="仿宋" w:hAnsi="仿宋" w:eastAsia="仿宋" w:cs="宋体"/>
          <w:kern w:val="0"/>
          <w:sz w:val="32"/>
          <w:szCs w:val="32"/>
          <w:vertAlign w:val="superscript"/>
        </w:rPr>
        <w:t>2</w:t>
      </w:r>
      <w:r>
        <w:rPr>
          <w:rFonts w:hint="eastAsia" w:ascii="仿宋" w:hAnsi="仿宋" w:eastAsia="仿宋" w:cs="宋体"/>
          <w:kern w:val="0"/>
          <w:sz w:val="32"/>
          <w:szCs w:val="32"/>
        </w:rPr>
        <w:t>的员工集体宿舍</w:t>
      </w:r>
    </w:p>
    <w:p>
      <w:pPr>
        <w:snapToGrid w:val="0"/>
        <w:spacing w:line="360" w:lineRule="auto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5.建筑总面积大于2500 m</w:t>
      </w:r>
      <w:r>
        <w:rPr>
          <w:rFonts w:hint="eastAsia" w:ascii="仿宋" w:hAnsi="仿宋" w:eastAsia="仿宋" w:cs="宋体"/>
          <w:kern w:val="0"/>
          <w:sz w:val="32"/>
          <w:szCs w:val="32"/>
          <w:vertAlign w:val="superscript"/>
        </w:rPr>
        <w:t>2</w:t>
      </w:r>
      <w:r>
        <w:rPr>
          <w:rFonts w:hint="eastAsia" w:ascii="仿宋" w:hAnsi="仿宋" w:eastAsia="仿宋" w:cs="宋体"/>
          <w:kern w:val="0"/>
          <w:sz w:val="32"/>
          <w:szCs w:val="32"/>
        </w:rPr>
        <w:t>的：</w:t>
      </w:r>
    </w:p>
    <w:p>
      <w:pPr>
        <w:snapToGrid w:val="0"/>
        <w:spacing w:line="360" w:lineRule="auto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□影剧院    □公共图书馆的阅览室    □营业性室内健身场馆</w:t>
      </w:r>
    </w:p>
    <w:p>
      <w:pPr>
        <w:snapToGrid w:val="0"/>
        <w:spacing w:line="360" w:lineRule="auto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□营业性室内休闲场馆    □医院的门诊楼    □大学的教学楼</w:t>
      </w:r>
    </w:p>
    <w:p>
      <w:pPr>
        <w:snapToGrid w:val="0"/>
        <w:spacing w:line="360" w:lineRule="auto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□大学的图书馆     □大学的食堂      □寺庙      □教堂</w:t>
      </w:r>
    </w:p>
    <w:p>
      <w:pPr>
        <w:snapToGrid w:val="0"/>
        <w:spacing w:line="360" w:lineRule="auto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6.建筑总面积大于10000 m</w:t>
      </w:r>
      <w:r>
        <w:rPr>
          <w:rFonts w:hint="eastAsia" w:ascii="仿宋" w:hAnsi="仿宋" w:eastAsia="仿宋" w:cs="宋体"/>
          <w:kern w:val="0"/>
          <w:sz w:val="32"/>
          <w:szCs w:val="32"/>
          <w:vertAlign w:val="superscript"/>
        </w:rPr>
        <w:t>2</w:t>
      </w:r>
      <w:r>
        <w:rPr>
          <w:rFonts w:hint="eastAsia" w:ascii="仿宋" w:hAnsi="仿宋" w:eastAsia="仿宋" w:cs="宋体"/>
          <w:kern w:val="0"/>
          <w:sz w:val="32"/>
          <w:szCs w:val="32"/>
        </w:rPr>
        <w:t>的：</w:t>
      </w:r>
    </w:p>
    <w:p>
      <w:pPr>
        <w:snapToGrid w:val="0"/>
        <w:spacing w:line="360" w:lineRule="auto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□宾馆     □饭店     □商场    □市场</w:t>
      </w:r>
    </w:p>
    <w:p>
      <w:pPr>
        <w:snapToGrid w:val="0"/>
        <w:spacing w:line="360" w:lineRule="auto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7.建筑总面积大于15000 m</w:t>
      </w:r>
      <w:r>
        <w:rPr>
          <w:rFonts w:hint="eastAsia" w:ascii="仿宋" w:hAnsi="仿宋" w:eastAsia="仿宋" w:cs="宋体"/>
          <w:kern w:val="0"/>
          <w:sz w:val="32"/>
          <w:szCs w:val="32"/>
          <w:vertAlign w:val="superscript"/>
        </w:rPr>
        <w:t>2</w:t>
      </w:r>
      <w:r>
        <w:rPr>
          <w:rFonts w:hint="eastAsia" w:ascii="仿宋" w:hAnsi="仿宋" w:eastAsia="仿宋" w:cs="宋体"/>
          <w:kern w:val="0"/>
          <w:sz w:val="32"/>
          <w:szCs w:val="32"/>
        </w:rPr>
        <w:t>的：</w:t>
      </w:r>
    </w:p>
    <w:p>
      <w:pPr>
        <w:snapToGrid w:val="0"/>
        <w:spacing w:line="360" w:lineRule="auto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□民用机场航站楼    □客运车站候车室    □客运码头候船厅</w:t>
      </w:r>
    </w:p>
    <w:p>
      <w:pPr>
        <w:snapToGrid w:val="0"/>
        <w:spacing w:line="360" w:lineRule="auto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8.建筑总面积大于20000 m</w:t>
      </w:r>
      <w:r>
        <w:rPr>
          <w:rFonts w:hint="eastAsia" w:ascii="仿宋" w:hAnsi="仿宋" w:eastAsia="仿宋" w:cs="宋体"/>
          <w:kern w:val="0"/>
          <w:sz w:val="32"/>
          <w:szCs w:val="32"/>
          <w:vertAlign w:val="superscript"/>
        </w:rPr>
        <w:t>2</w:t>
      </w:r>
      <w:r>
        <w:rPr>
          <w:rFonts w:hint="eastAsia" w:ascii="仿宋" w:hAnsi="仿宋" w:eastAsia="仿宋" w:cs="宋体"/>
          <w:kern w:val="0"/>
          <w:sz w:val="32"/>
          <w:szCs w:val="32"/>
        </w:rPr>
        <w:t>的：</w:t>
      </w:r>
    </w:p>
    <w:p>
      <w:pPr>
        <w:snapToGrid w:val="0"/>
        <w:spacing w:line="360" w:lineRule="auto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□体育场馆    □会堂   □公共展览馆的展示厅   □博物馆的展示厅</w:t>
      </w:r>
    </w:p>
    <w:p>
      <w:pPr>
        <w:snapToGrid w:val="0"/>
        <w:spacing w:line="360" w:lineRule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二、其他特殊建筑建设工程：</w:t>
      </w:r>
    </w:p>
    <w:p>
      <w:pPr>
        <w:snapToGrid w:val="0"/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1.区级及以下国家机关办公楼、电力调度楼、电信楼、邮政楼、防灾指挥调度楼、广播电视楼、档案楼、区重点建设项目；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2.大于10000</w:t>
      </w: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 m</w:t>
      </w:r>
      <w:r>
        <w:rPr>
          <w:rFonts w:hint="eastAsia" w:ascii="仿宋" w:hAnsi="仿宋" w:eastAsia="仿宋" w:cs="宋体"/>
          <w:kern w:val="0"/>
          <w:sz w:val="32"/>
          <w:szCs w:val="32"/>
          <w:vertAlign w:val="superscript"/>
        </w:rPr>
        <w:t>2</w:t>
      </w:r>
      <w:r>
        <w:rPr>
          <w:rFonts w:hint="eastAsia" w:ascii="仿宋" w:hAnsi="仿宋" w:eastAsia="仿宋"/>
          <w:sz w:val="32"/>
          <w:szCs w:val="32"/>
        </w:rPr>
        <w:t>的地下单体建筑。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3. 城市轨道交通、隧道工程，大型发电、变配电工程；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4. 生产、储存、装卸易燃易爆危险物品的工厂、仓库和专用车站、码头，易燃易爆气体和液体的充装站、供应站、调压站。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三、《建筑工程消防设计审查办事指南》见附件</w:t>
      </w:r>
    </w:p>
    <w:p>
      <w:pPr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四、</w:t>
      </w:r>
      <w:r>
        <w:rPr>
          <w:rFonts w:hint="eastAsia" w:ascii="仿宋" w:hAnsi="仿宋" w:eastAsia="仿宋" w:cs="宋体"/>
          <w:kern w:val="0"/>
          <w:sz w:val="32"/>
          <w:szCs w:val="32"/>
        </w:rPr>
        <w:t>《建筑工程消防验收办事指南》见附件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0A5B2C"/>
    <w:rsid w:val="620A5B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黑体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2019-11-29T02:25:00Z</dcterms:created>
  <dc:creator>½✘☞苩芝痳☜</dc:creator>
  <cp:lastModifiedBy>½✘☞苩芝痳☜</cp:lastModifiedBy>
  <dcterms:modified xsi:type="dcterms:W3CDTF">2019-11-29T02:25:57Z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