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b/>
          <w:bCs/>
          <w:color w:val="auto"/>
          <w:sz w:val="32"/>
          <w:szCs w:val="32"/>
          <w:highlight w:val="none"/>
          <w:lang w:eastAsia="zh-CN"/>
        </w:rPr>
      </w:pPr>
    </w:p>
    <w:p>
      <w:pPr>
        <w:pStyle w:val="2"/>
        <w:rPr>
          <w:rFonts w:hint="eastAsia" w:ascii="Times New Roman" w:hAnsi="Times New Roman" w:eastAsia="仿宋_GB2312" w:cs="仿宋_GB2312"/>
          <w:b/>
          <w:bCs/>
          <w:color w:val="auto"/>
          <w:sz w:val="32"/>
          <w:szCs w:val="32"/>
          <w:highlight w:val="none"/>
          <w:lang w:eastAsia="zh-CN"/>
        </w:rPr>
      </w:pPr>
    </w:p>
    <w:p>
      <w:pPr>
        <w:pStyle w:val="2"/>
        <w:rPr>
          <w:rFonts w:hint="eastAsia" w:ascii="Times New Roman" w:hAnsi="Times New Roman" w:eastAsia="仿宋_GB2312" w:cs="仿宋_GB2312"/>
          <w:b/>
          <w:bCs/>
          <w:color w:val="auto"/>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b/>
          <w:bCs/>
          <w:color w:val="auto"/>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b/>
          <w:bCs/>
          <w:color w:val="auto"/>
          <w:sz w:val="72"/>
          <w:szCs w:val="72"/>
          <w:highlight w:val="none"/>
          <w:lang w:eastAsia="zh-CN"/>
        </w:rPr>
      </w:pPr>
      <w:r>
        <w:rPr>
          <w:rFonts w:hint="eastAsia" w:ascii="方正小标宋简体" w:hAnsi="方正小标宋简体" w:eastAsia="方正小标宋简体" w:cs="方正小标宋简体"/>
          <w:b/>
          <w:bCs/>
          <w:color w:val="auto"/>
          <w:sz w:val="72"/>
          <w:szCs w:val="72"/>
          <w:highlight w:val="none"/>
          <w:lang w:eastAsia="zh-CN"/>
        </w:rPr>
        <w:t>清城区202</w:t>
      </w:r>
      <w:r>
        <w:rPr>
          <w:rFonts w:hint="eastAsia" w:ascii="方正小标宋简体" w:hAnsi="方正小标宋简体" w:eastAsia="方正小标宋简体" w:cs="方正小标宋简体"/>
          <w:b/>
          <w:bCs/>
          <w:color w:val="auto"/>
          <w:sz w:val="72"/>
          <w:szCs w:val="72"/>
          <w:highlight w:val="none"/>
          <w:lang w:val="en-US" w:eastAsia="zh-CN"/>
        </w:rPr>
        <w:t>4</w:t>
      </w:r>
      <w:r>
        <w:rPr>
          <w:rFonts w:hint="eastAsia" w:ascii="方正小标宋简体" w:hAnsi="方正小标宋简体" w:eastAsia="方正小标宋简体" w:cs="方正小标宋简体"/>
          <w:b/>
          <w:bCs/>
          <w:color w:val="auto"/>
          <w:sz w:val="72"/>
          <w:szCs w:val="72"/>
          <w:highlight w:val="none"/>
          <w:lang w:eastAsia="zh-CN"/>
        </w:rPr>
        <w:t>年重点建设项目计划</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楷体_GB2312" w:cs="Times New Roman"/>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_GB2312" w:cs="Times New Roman"/>
          <w:b/>
          <w:bCs/>
          <w:color w:val="auto"/>
          <w:sz w:val="32"/>
          <w:szCs w:val="32"/>
          <w:highlight w:val="none"/>
          <w:lang w:val="en-US" w:eastAsia="zh-CN"/>
        </w:rPr>
      </w:pPr>
    </w:p>
    <w:p>
      <w:pPr>
        <w:pStyle w:val="2"/>
        <w:rPr>
          <w:rFonts w:hint="default" w:ascii="Times New Roman" w:hAnsi="Times New Roman" w:eastAsia="楷体_GB2312" w:cs="Times New Roman"/>
          <w:b/>
          <w:bCs/>
          <w:color w:val="auto"/>
          <w:sz w:val="32"/>
          <w:szCs w:val="32"/>
          <w:highlight w:val="none"/>
          <w:lang w:val="en-US" w:eastAsia="zh-CN"/>
        </w:rPr>
      </w:pPr>
    </w:p>
    <w:p>
      <w:pPr>
        <w:pStyle w:val="2"/>
        <w:rPr>
          <w:rFonts w:hint="default" w:ascii="Times New Roman" w:hAnsi="Times New Roman" w:eastAsia="楷体_GB2312" w:cs="Times New Roman"/>
          <w:b/>
          <w:bCs/>
          <w:color w:val="auto"/>
          <w:sz w:val="32"/>
          <w:szCs w:val="32"/>
          <w:highlight w:val="none"/>
          <w:lang w:val="en-US" w:eastAsia="zh-CN"/>
        </w:rPr>
      </w:pPr>
    </w:p>
    <w:p>
      <w:pPr>
        <w:pStyle w:val="2"/>
        <w:rPr>
          <w:rFonts w:hint="default" w:ascii="Times New Roman" w:hAnsi="Times New Roman" w:eastAsia="楷体_GB2312" w:cs="Times New Roman"/>
          <w:b/>
          <w:bCs/>
          <w:color w:val="auto"/>
          <w:sz w:val="32"/>
          <w:szCs w:val="32"/>
          <w:highlight w:val="none"/>
          <w:lang w:val="en-US" w:eastAsia="zh-CN"/>
        </w:rPr>
      </w:pPr>
    </w:p>
    <w:p>
      <w:pPr>
        <w:pStyle w:val="2"/>
        <w:rPr>
          <w:rFonts w:hint="default" w:ascii="Times New Roman" w:hAnsi="Times New Roman" w:eastAsia="楷体_GB2312" w:cs="Times New Roman"/>
          <w:b/>
          <w:bCs/>
          <w:color w:val="auto"/>
          <w:sz w:val="32"/>
          <w:szCs w:val="32"/>
          <w:highlight w:val="none"/>
          <w:lang w:val="en-US" w:eastAsia="zh-CN"/>
        </w:rPr>
      </w:pPr>
    </w:p>
    <w:p>
      <w:pPr>
        <w:pStyle w:val="2"/>
        <w:rPr>
          <w:rFonts w:hint="default" w:ascii="Times New Roman" w:hAnsi="Times New Roman" w:eastAsia="楷体_GB2312" w:cs="Times New Roman"/>
          <w:b/>
          <w:bCs/>
          <w:color w:val="auto"/>
          <w:sz w:val="32"/>
          <w:szCs w:val="32"/>
          <w:highlight w:val="none"/>
          <w:lang w:val="en-US" w:eastAsia="zh-CN"/>
        </w:rPr>
      </w:pPr>
    </w:p>
    <w:p>
      <w:pPr>
        <w:pStyle w:val="2"/>
        <w:rPr>
          <w:rFonts w:hint="default" w:ascii="Times New Roman" w:hAnsi="Times New Roman" w:eastAsia="楷体_GB2312" w:cs="Times New Roman"/>
          <w:b/>
          <w:bCs/>
          <w:color w:val="auto"/>
          <w:sz w:val="32"/>
          <w:szCs w:val="32"/>
          <w:highlight w:val="none"/>
          <w:lang w:val="en-US" w:eastAsia="zh-CN"/>
        </w:rPr>
      </w:pPr>
    </w:p>
    <w:p>
      <w:pPr>
        <w:pStyle w:val="2"/>
        <w:rPr>
          <w:rFonts w:hint="default" w:ascii="Times New Roman" w:hAnsi="Times New Roman" w:eastAsia="楷体_GB2312" w:cs="Times New Roman"/>
          <w:b/>
          <w:bCs/>
          <w:color w:val="auto"/>
          <w:sz w:val="32"/>
          <w:szCs w:val="32"/>
          <w:highlight w:val="none"/>
          <w:lang w:val="en-US" w:eastAsia="zh-CN"/>
        </w:rPr>
      </w:pPr>
    </w:p>
    <w:p>
      <w:pPr>
        <w:pStyle w:val="2"/>
        <w:rPr>
          <w:rFonts w:hint="default" w:ascii="Times New Roman" w:hAnsi="Times New Roman" w:eastAsia="楷体_GB2312" w:cs="Times New Roman"/>
          <w:b/>
          <w:bCs/>
          <w:color w:val="auto"/>
          <w:sz w:val="32"/>
          <w:szCs w:val="32"/>
          <w:highlight w:val="none"/>
          <w:lang w:val="en-US" w:eastAsia="zh-CN"/>
        </w:rPr>
      </w:pP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_GB2312" w:cs="Times New Roman"/>
          <w:b/>
          <w:bCs/>
          <w:color w:val="auto"/>
          <w:sz w:val="40"/>
          <w:szCs w:val="40"/>
          <w:highlight w:val="none"/>
          <w:lang w:val="en-US" w:eastAsia="zh-CN"/>
        </w:rPr>
      </w:pPr>
      <w:r>
        <w:rPr>
          <w:rFonts w:hint="default" w:ascii="Times New Roman" w:hAnsi="Times New Roman" w:eastAsia="楷体_GB2312" w:cs="Times New Roman"/>
          <w:b/>
          <w:bCs/>
          <w:color w:val="auto"/>
          <w:sz w:val="40"/>
          <w:szCs w:val="40"/>
          <w:highlight w:val="none"/>
          <w:lang w:val="en-US" w:eastAsia="zh-CN"/>
        </w:rPr>
        <w:t>清城区发展和改革局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_GB2312" w:cs="Times New Roman"/>
          <w:b/>
          <w:bCs/>
          <w:color w:val="auto"/>
          <w:sz w:val="40"/>
          <w:szCs w:val="40"/>
          <w:highlight w:val="none"/>
          <w:lang w:val="en-US" w:eastAsia="zh-CN"/>
        </w:rPr>
      </w:pPr>
      <w:r>
        <w:rPr>
          <w:rFonts w:hint="default" w:ascii="Times New Roman" w:hAnsi="Times New Roman" w:eastAsia="楷体_GB2312" w:cs="Times New Roman"/>
          <w:b/>
          <w:bCs/>
          <w:color w:val="auto"/>
          <w:sz w:val="40"/>
          <w:szCs w:val="40"/>
          <w:highlight w:val="none"/>
          <w:lang w:val="en-US" w:eastAsia="zh-CN"/>
        </w:rPr>
        <w:t>202</w:t>
      </w:r>
      <w:r>
        <w:rPr>
          <w:rFonts w:hint="eastAsia" w:ascii="Times New Roman" w:hAnsi="Times New Roman" w:eastAsia="楷体_GB2312" w:cs="Times New Roman"/>
          <w:b/>
          <w:bCs/>
          <w:color w:val="auto"/>
          <w:sz w:val="40"/>
          <w:szCs w:val="40"/>
          <w:highlight w:val="none"/>
          <w:lang w:val="en-US" w:eastAsia="zh-CN"/>
        </w:rPr>
        <w:t>4</w:t>
      </w:r>
      <w:r>
        <w:rPr>
          <w:rFonts w:hint="default" w:ascii="Times New Roman" w:hAnsi="Times New Roman" w:eastAsia="楷体_GB2312" w:cs="Times New Roman"/>
          <w:b/>
          <w:bCs/>
          <w:color w:val="auto"/>
          <w:sz w:val="40"/>
          <w:szCs w:val="40"/>
          <w:highlight w:val="none"/>
          <w:lang w:val="en-US" w:eastAsia="zh-CN"/>
        </w:rPr>
        <w:t>年</w:t>
      </w:r>
      <w:r>
        <w:rPr>
          <w:rFonts w:hint="eastAsia" w:ascii="Times New Roman" w:hAnsi="Times New Roman" w:eastAsia="楷体_GB2312" w:cs="Times New Roman"/>
          <w:b/>
          <w:bCs/>
          <w:color w:val="auto"/>
          <w:sz w:val="40"/>
          <w:szCs w:val="40"/>
          <w:highlight w:val="none"/>
          <w:lang w:val="en-US" w:eastAsia="zh-CN"/>
        </w:rPr>
        <w:t>3</w:t>
      </w:r>
      <w:r>
        <w:rPr>
          <w:rFonts w:hint="default" w:ascii="Times New Roman" w:hAnsi="Times New Roman" w:eastAsia="楷体_GB2312" w:cs="Times New Roman"/>
          <w:b/>
          <w:bCs/>
          <w:color w:val="auto"/>
          <w:sz w:val="40"/>
          <w:szCs w:val="40"/>
          <w:highlight w:val="none"/>
          <w:lang w:val="en-US" w:eastAsia="zh-CN"/>
        </w:rPr>
        <w:t>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b/>
          <w:bCs/>
          <w:color w:val="auto"/>
          <w:sz w:val="48"/>
          <w:szCs w:val="48"/>
          <w:highlight w:val="none"/>
          <w:lang w:val="en-US" w:eastAsia="zh-CN"/>
        </w:rPr>
      </w:pPr>
      <w:r>
        <w:rPr>
          <w:rFonts w:hint="default" w:ascii="Times New Roman" w:hAnsi="Times New Roman" w:eastAsia="楷体_GB2312" w:cs="Times New Roman"/>
          <w:b/>
          <w:bCs/>
          <w:color w:val="auto"/>
          <w:sz w:val="32"/>
          <w:szCs w:val="32"/>
          <w:highlight w:val="none"/>
          <w:lang w:val="en-US" w:eastAsia="zh-CN"/>
        </w:rPr>
        <w:br w:type="page"/>
      </w:r>
    </w:p>
    <w:p>
      <w:pPr>
        <w:jc w:val="center"/>
        <w:rPr>
          <w:rFonts w:hint="eastAsia" w:ascii="方正小标宋_GBK" w:hAnsi="方正小标宋_GBK" w:eastAsia="方正小标宋_GBK" w:cs="方正小标宋_GBK"/>
          <w:color w:val="auto"/>
          <w:sz w:val="44"/>
          <w:szCs w:val="44"/>
          <w:highlight w:val="none"/>
          <w:lang w:eastAsia="zh-CN"/>
        </w:rPr>
        <w:sectPr>
          <w:pgSz w:w="23811" w:h="16838" w:orient="landscape"/>
          <w:pgMar w:top="1440" w:right="1417" w:bottom="1440" w:left="1417" w:header="851" w:footer="992" w:gutter="0"/>
          <w:pgBorders>
            <w:top w:val="none" w:sz="0" w:space="0"/>
            <w:left w:val="none" w:sz="0" w:space="0"/>
            <w:bottom w:val="none" w:sz="0" w:space="0"/>
            <w:right w:val="none" w:sz="0" w:space="0"/>
          </w:pgBorders>
          <w:cols w:space="72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auto"/>
          <w:sz w:val="32"/>
          <w:szCs w:val="32"/>
          <w:highlight w:val="none"/>
          <w:lang w:eastAsia="zh-CN"/>
        </w:rPr>
      </w:pPr>
      <w:r>
        <w:rPr>
          <w:rFonts w:hint="eastAsia" w:ascii="方正小标宋_GBK" w:hAnsi="方正小标宋_GBK" w:eastAsia="方正小标宋_GBK" w:cs="方正小标宋_GBK"/>
          <w:color w:val="auto"/>
          <w:sz w:val="44"/>
          <w:szCs w:val="44"/>
          <w:highlight w:val="none"/>
          <w:lang w:eastAsia="zh-CN"/>
        </w:rPr>
        <w:t>简要说明</w:t>
      </w:r>
    </w:p>
    <w:p>
      <w:pPr>
        <w:pStyle w:val="7"/>
        <w:keepNext w:val="0"/>
        <w:keepLines w:val="0"/>
        <w:pageBreakBefore w:val="0"/>
        <w:widowControl w:val="0"/>
        <w:kinsoku/>
        <w:wordWrap/>
        <w:overflowPunct/>
        <w:topLinePunct w:val="0"/>
        <w:autoSpaceDE w:val="0"/>
        <w:autoSpaceDN w:val="0"/>
        <w:bidi w:val="0"/>
        <w:adjustRightInd/>
        <w:snapToGrid/>
        <w:spacing w:before="0" w:after="0" w:line="560" w:lineRule="exact"/>
        <w:ind w:right="0" w:rightChars="0" w:firstLine="640" w:firstLineChars="200"/>
        <w:jc w:val="both"/>
        <w:textAlignment w:val="auto"/>
        <w:outlineLvl w:val="9"/>
        <w:rPr>
          <w:rFonts w:hint="eastAsia" w:ascii="黑体" w:hAnsi="黑体" w:eastAsia="黑体"/>
          <w:color w:val="auto"/>
          <w:sz w:val="32"/>
          <w:highlight w:val="none"/>
          <w:lang w:val="zh-CN"/>
        </w:rPr>
      </w:pPr>
    </w:p>
    <w:p>
      <w:pPr>
        <w:pStyle w:val="7"/>
        <w:keepNext w:val="0"/>
        <w:keepLines w:val="0"/>
        <w:pageBreakBefore w:val="0"/>
        <w:widowControl w:val="0"/>
        <w:kinsoku/>
        <w:wordWrap/>
        <w:overflowPunct/>
        <w:topLinePunct w:val="0"/>
        <w:autoSpaceDE w:val="0"/>
        <w:autoSpaceDN w:val="0"/>
        <w:bidi w:val="0"/>
        <w:adjustRightInd/>
        <w:snapToGrid/>
        <w:spacing w:before="0" w:after="0" w:line="560" w:lineRule="exact"/>
        <w:ind w:right="0" w:rightChars="0" w:firstLine="640" w:firstLineChars="200"/>
        <w:jc w:val="both"/>
        <w:textAlignment w:val="auto"/>
        <w:outlineLvl w:val="9"/>
        <w:rPr>
          <w:rFonts w:hint="eastAsia" w:ascii="仿宋" w:hAnsi="仿宋" w:eastAsia="仿宋"/>
          <w:b/>
          <w:color w:val="auto"/>
          <w:sz w:val="32"/>
          <w:highlight w:val="none"/>
          <w:lang w:val="zh-CN"/>
        </w:rPr>
      </w:pPr>
      <w:r>
        <w:rPr>
          <w:rFonts w:hint="eastAsia" w:ascii="黑体" w:hAnsi="黑体" w:eastAsia="黑体"/>
          <w:color w:val="auto"/>
          <w:sz w:val="32"/>
          <w:highlight w:val="none"/>
          <w:lang w:val="zh-CN"/>
        </w:rPr>
        <w:t>一、计划编报原则</w:t>
      </w:r>
    </w:p>
    <w:p>
      <w:pPr>
        <w:pStyle w:val="7"/>
        <w:widowControl w:val="0"/>
        <w:autoSpaceDE w:val="0"/>
        <w:autoSpaceDN w:val="0"/>
        <w:spacing w:line="560" w:lineRule="exact"/>
        <w:ind w:firstLine="640" w:firstLineChars="200"/>
        <w:jc w:val="both"/>
        <w:outlineLvl w:val="9"/>
        <w:rPr>
          <w:rFonts w:hint="eastAsia" w:ascii="Times New Roman" w:hAnsi="Times New Roman" w:eastAsia="仿宋_GB2312"/>
          <w:color w:val="auto"/>
          <w:sz w:val="32"/>
          <w:highlight w:val="none"/>
          <w:lang w:val="zh-CN"/>
        </w:rPr>
      </w:pPr>
      <w:r>
        <w:rPr>
          <w:rFonts w:hint="eastAsia" w:ascii="Times New Roman" w:hAnsi="Times New Roman" w:eastAsia="仿宋_GB2312"/>
          <w:color w:val="auto"/>
          <w:sz w:val="32"/>
          <w:highlight w:val="none"/>
          <w:lang w:val="zh-CN"/>
        </w:rPr>
        <w:t>2024年</w:t>
      </w:r>
      <w:r>
        <w:rPr>
          <w:rFonts w:hint="eastAsia" w:eastAsia="仿宋_GB2312"/>
          <w:color w:val="auto"/>
          <w:sz w:val="32"/>
          <w:highlight w:val="none"/>
          <w:lang w:val="en-US" w:eastAsia="zh-CN"/>
        </w:rPr>
        <w:t>区</w:t>
      </w:r>
      <w:r>
        <w:rPr>
          <w:rFonts w:hint="eastAsia" w:ascii="Times New Roman" w:hAnsi="Times New Roman" w:eastAsia="仿宋_GB2312"/>
          <w:color w:val="auto"/>
          <w:sz w:val="32"/>
          <w:highlight w:val="none"/>
          <w:lang w:val="zh-CN"/>
        </w:rPr>
        <w:t>重点项目建设工作以习近平新时代中国特色社会主义思想为指导，深入贯彻党的二十大精神和习近平总书记视察广东重要讲话、重要批示精神，深入贯彻落实习近平总书记重要指示批示精神，认真落实省委“1310”具体部署和市委“十大行动方案”工作安排，聚焦落实“百县千镇万村高质量发展工程”，区委、区政府重大决策部署，精准扩大合理有效投资，充分发挥重点项目对促投资稳增长的支撑引领作用，加快推进产业结构优化调整，加强民生保障，统筹推进全局性、基础性、战略性的重点项目建设，促进我区经济高质量增长，促进“十四五”规划落地实施，为我区经济持续健康发展奠定基础。</w:t>
      </w:r>
    </w:p>
    <w:p>
      <w:pPr>
        <w:pStyle w:val="7"/>
        <w:keepNext w:val="0"/>
        <w:keepLines w:val="0"/>
        <w:pageBreakBefore w:val="0"/>
        <w:widowControl w:val="0"/>
        <w:kinsoku/>
        <w:wordWrap/>
        <w:overflowPunct/>
        <w:topLinePunct w:val="0"/>
        <w:autoSpaceDE w:val="0"/>
        <w:autoSpaceDN w:val="0"/>
        <w:bidi w:val="0"/>
        <w:adjustRightInd/>
        <w:snapToGrid/>
        <w:spacing w:before="0" w:after="0" w:line="560" w:lineRule="exact"/>
        <w:ind w:right="0" w:rightChars="0" w:firstLine="640" w:firstLineChars="200"/>
        <w:jc w:val="both"/>
        <w:textAlignment w:val="auto"/>
        <w:outlineLvl w:val="9"/>
        <w:rPr>
          <w:rFonts w:hint="eastAsia" w:ascii="Times New Roman" w:hAnsi="Times New Roman" w:eastAsia="仿宋_GB2312"/>
          <w:color w:val="auto"/>
          <w:sz w:val="32"/>
          <w:highlight w:val="none"/>
          <w:lang w:val="zh-CN"/>
        </w:rPr>
      </w:pPr>
      <w:r>
        <w:rPr>
          <w:rFonts w:hint="eastAsia" w:ascii="Times New Roman" w:hAnsi="Times New Roman" w:eastAsia="仿宋_GB2312"/>
          <w:color w:val="auto"/>
          <w:sz w:val="32"/>
          <w:highlight w:val="none"/>
          <w:lang w:val="zh-CN"/>
        </w:rPr>
        <w:t>计划编报需遵循以下原则：</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tLeast"/>
        <w:ind w:left="0" w:leftChars="0" w:right="0" w:rightChars="0" w:firstLine="640"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楷体_GB2312" w:hAnsi="楷体_GB2312" w:eastAsia="楷体_GB2312" w:cs="仿宋_GB2312"/>
          <w:sz w:val="32"/>
          <w:szCs w:val="32"/>
          <w:highlight w:val="none"/>
          <w:lang w:val="en-US" w:eastAsia="zh-CN"/>
        </w:rPr>
        <w:t>（一）构建现代化基础设施支撑保障项目。</w:t>
      </w:r>
      <w:r>
        <w:rPr>
          <w:rFonts w:hint="eastAsia" w:ascii="仿宋_GB2312" w:hAnsi="仿宋_GB2312" w:eastAsia="仿宋_GB2312" w:cs="仿宋_GB2312"/>
          <w:sz w:val="32"/>
          <w:szCs w:val="32"/>
          <w:highlight w:val="none"/>
          <w:lang w:val="en-US" w:eastAsia="zh-CN"/>
        </w:rPr>
        <w:t>以建设现代化基础设施体系为重点，加快推进高水平新型基础设施项目和对省、市、区或预期发展具有重要影响的公路、能源、水利、城建、环保等基础设施项目建设</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kinsoku/>
        <w:wordWrap/>
        <w:overflowPunct/>
        <w:topLinePunct w:val="0"/>
        <w:autoSpaceDE/>
        <w:autoSpaceDN/>
        <w:bidi w:val="0"/>
        <w:adjustRightInd/>
        <w:snapToGrid/>
        <w:spacing w:before="0" w:beforeLines="0" w:after="0" w:afterLines="0" w:line="240" w:lineRule="atLeast"/>
        <w:ind w:right="0" w:rightChars="0"/>
        <w:textAlignment w:val="auto"/>
        <w:outlineLvl w:val="9"/>
        <w:rPr>
          <w:rFonts w:hint="eastAsia" w:ascii="仿宋_GB2312" w:hAnsi="仿宋_GB2312" w:eastAsia="仿宋_GB2312" w:cs="仿宋_GB2312"/>
          <w:sz w:val="32"/>
          <w:szCs w:val="32"/>
          <w:highlight w:val="none"/>
          <w:lang w:val="en-US" w:eastAsia="zh-CN"/>
        </w:rPr>
      </w:pPr>
      <w:r>
        <w:rPr>
          <w:rFonts w:hint="eastAsia" w:ascii="仿宋" w:hAnsi="仿宋" w:eastAsia="仿宋" w:cs="仿宋_GB2312"/>
          <w:sz w:val="32"/>
          <w:szCs w:val="32"/>
          <w:highlight w:val="none"/>
          <w:lang w:val="en-US" w:eastAsia="zh-CN"/>
        </w:rPr>
        <w:t xml:space="preserve">    </w:t>
      </w:r>
      <w:r>
        <w:rPr>
          <w:rFonts w:hint="eastAsia" w:ascii="楷体_GB2312" w:hAnsi="楷体_GB2312" w:eastAsia="楷体_GB2312" w:cs="仿宋_GB2312"/>
          <w:sz w:val="32"/>
          <w:szCs w:val="32"/>
          <w:highlight w:val="none"/>
          <w:lang w:val="en-US" w:eastAsia="zh-CN"/>
        </w:rPr>
        <w:t>（二）构建产业新体系。</w:t>
      </w:r>
      <w:r>
        <w:rPr>
          <w:rFonts w:hint="eastAsia" w:ascii="仿宋_GB2312" w:hAnsi="仿宋_GB2312" w:eastAsia="仿宋_GB2312" w:cs="仿宋_GB2312"/>
          <w:sz w:val="32"/>
          <w:szCs w:val="32"/>
          <w:highlight w:val="none"/>
          <w:lang w:val="en-US" w:eastAsia="zh-CN"/>
        </w:rPr>
        <w:t>以加快建设更具竞争力的现代化产业体系为重点，聚焦十大战略性支柱产业集群和十大战略性新兴产业集群，加快推进新一代信息技术、生物医药、高端装备制造、新材料、现代服务业、传统产业升级、农林牧渔等产业项目建设。</w:t>
      </w:r>
    </w:p>
    <w:p>
      <w:pPr>
        <w:pStyle w:val="7"/>
        <w:keepNext w:val="0"/>
        <w:keepLines w:val="0"/>
        <w:widowControl w:val="0"/>
        <w:suppressLineNumbers w:val="0"/>
        <w:autoSpaceDE w:val="0"/>
        <w:autoSpaceDN w:val="0"/>
        <w:spacing w:line="560" w:lineRule="exact"/>
        <w:ind w:firstLine="640" w:firstLineChars="200"/>
        <w:jc w:val="both"/>
        <w:outlineLvl w:val="9"/>
        <w:rPr>
          <w:rFonts w:hint="eastAsia" w:ascii="Times New Roman" w:hAnsi="Times New Roman" w:eastAsia="仿宋_GB2312"/>
          <w:color w:val="auto"/>
          <w:sz w:val="32"/>
          <w:szCs w:val="20"/>
          <w:highlight w:val="none"/>
          <w:lang w:val="zh-CN"/>
        </w:rPr>
      </w:pPr>
      <w:r>
        <w:rPr>
          <w:rFonts w:hint="eastAsia" w:ascii="楷体_GB2312" w:hAnsi="楷体_GB2312" w:eastAsia="楷体_GB2312" w:cs="仿宋_GB2312"/>
          <w:sz w:val="32"/>
          <w:szCs w:val="32"/>
          <w:highlight w:val="none"/>
          <w:lang w:val="en-US" w:eastAsia="zh-CN"/>
        </w:rPr>
        <w:t>（三）着力推进民生保障工程。</w:t>
      </w:r>
      <w:r>
        <w:rPr>
          <w:rFonts w:hint="eastAsia" w:ascii="仿宋_GB2312" w:hAnsi="仿宋_GB2312" w:eastAsia="仿宋_GB2312" w:cs="仿宋_GB2312"/>
          <w:sz w:val="32"/>
          <w:szCs w:val="32"/>
          <w:highlight w:val="none"/>
          <w:lang w:val="en-US" w:eastAsia="zh-CN"/>
        </w:rPr>
        <w:t>以提升民生保障供给质量为重点，加快推进教育、医疗卫生、文化教育、居民住房保障项目建设。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olor w:val="auto"/>
          <w:sz w:val="32"/>
          <w:highlight w:val="none"/>
          <w:lang w:val="zh-CN"/>
        </w:rPr>
      </w:pPr>
      <w:r>
        <w:rPr>
          <w:rFonts w:hint="eastAsia" w:ascii="黑体" w:hAnsi="黑体" w:eastAsia="黑体"/>
          <w:color w:val="auto"/>
          <w:sz w:val="32"/>
          <w:highlight w:val="none"/>
          <w:lang w:val="zh-CN"/>
        </w:rPr>
        <w:t>二、计划编报条件</w:t>
      </w:r>
    </w:p>
    <w:p>
      <w:pPr>
        <w:pStyle w:val="7"/>
        <w:keepNext w:val="0"/>
        <w:keepLines w:val="0"/>
        <w:pageBreakBefore w:val="0"/>
        <w:widowControl w:val="0"/>
        <w:kinsoku/>
        <w:wordWrap/>
        <w:overflowPunct/>
        <w:topLinePunct w:val="0"/>
        <w:autoSpaceDE w:val="0"/>
        <w:autoSpaceDN w:val="0"/>
        <w:bidi w:val="0"/>
        <w:adjustRightInd/>
        <w:snapToGrid/>
        <w:spacing w:before="0" w:after="0" w:line="560" w:lineRule="exact"/>
        <w:ind w:right="0" w:rightChars="0" w:firstLine="640" w:firstLineChars="200"/>
        <w:jc w:val="both"/>
        <w:textAlignment w:val="auto"/>
        <w:outlineLvl w:val="9"/>
        <w:rPr>
          <w:rFonts w:hint="eastAsia" w:ascii="楷体_GB2312" w:hAnsi="楷体_GB2312" w:eastAsia="楷体_GB2312" w:cs="楷体_GB2312"/>
          <w:color w:val="auto"/>
          <w:sz w:val="32"/>
          <w:highlight w:val="none"/>
          <w:lang w:val="zh-CN"/>
        </w:rPr>
      </w:pPr>
      <w:r>
        <w:rPr>
          <w:rFonts w:hint="eastAsia" w:ascii="楷体_GB2312" w:hAnsi="楷体_GB2312" w:eastAsia="楷体_GB2312" w:cs="楷体_GB2312"/>
          <w:color w:val="auto"/>
          <w:sz w:val="32"/>
          <w:highlight w:val="none"/>
          <w:lang w:val="zh-CN"/>
        </w:rPr>
        <w:t>（一）申请列入</w:t>
      </w:r>
      <w:r>
        <w:rPr>
          <w:rFonts w:hint="default" w:ascii="Times New Roman" w:hAnsi="Times New Roman" w:eastAsia="楷体_GB2312" w:cs="Times New Roman"/>
          <w:color w:val="auto"/>
          <w:sz w:val="32"/>
          <w:highlight w:val="none"/>
          <w:lang w:val="zh-CN"/>
        </w:rPr>
        <w:t>202</w:t>
      </w:r>
      <w:r>
        <w:rPr>
          <w:rFonts w:hint="eastAsia" w:eastAsia="楷体_GB2312" w:cs="Times New Roman"/>
          <w:color w:val="auto"/>
          <w:sz w:val="32"/>
          <w:highlight w:val="none"/>
          <w:lang w:val="en-US" w:eastAsia="zh-CN"/>
        </w:rPr>
        <w:t>4</w:t>
      </w:r>
      <w:r>
        <w:rPr>
          <w:rFonts w:hint="eastAsia" w:ascii="楷体_GB2312" w:hAnsi="楷体_GB2312" w:eastAsia="楷体_GB2312" w:cs="楷体_GB2312"/>
          <w:color w:val="auto"/>
          <w:sz w:val="32"/>
          <w:highlight w:val="none"/>
          <w:lang w:val="zh-CN"/>
        </w:rPr>
        <w:t>年区重点建设项目</w:t>
      </w:r>
      <w:r>
        <w:rPr>
          <w:rFonts w:hint="eastAsia" w:ascii="楷体_GB2312" w:hAnsi="楷体_GB2312" w:eastAsia="楷体_GB2312" w:cs="楷体_GB2312"/>
          <w:color w:val="auto"/>
          <w:sz w:val="32"/>
          <w:highlight w:val="none"/>
          <w:lang w:val="en-US" w:eastAsia="zh-CN"/>
        </w:rPr>
        <w:t>计划的项目应至少</w:t>
      </w:r>
      <w:r>
        <w:rPr>
          <w:rFonts w:hint="eastAsia" w:ascii="楷体_GB2312" w:hAnsi="楷体_GB2312" w:eastAsia="楷体_GB2312" w:cs="楷体_GB2312"/>
          <w:color w:val="auto"/>
          <w:sz w:val="32"/>
          <w:highlight w:val="none"/>
          <w:lang w:val="zh-CN"/>
        </w:rPr>
        <w:t>符合以下</w:t>
      </w:r>
      <w:r>
        <w:rPr>
          <w:rFonts w:hint="eastAsia" w:ascii="楷体_GB2312" w:hAnsi="楷体_GB2312" w:eastAsia="楷体_GB2312" w:cs="楷体_GB2312"/>
          <w:color w:val="auto"/>
          <w:sz w:val="32"/>
          <w:highlight w:val="none"/>
          <w:lang w:val="en-US" w:eastAsia="zh-CN"/>
        </w:rPr>
        <w:t>其中一项</w:t>
      </w:r>
      <w:r>
        <w:rPr>
          <w:rFonts w:hint="eastAsia" w:ascii="楷体_GB2312" w:hAnsi="楷体_GB2312" w:eastAsia="楷体_GB2312" w:cs="楷体_GB2312"/>
          <w:color w:val="auto"/>
          <w:sz w:val="32"/>
          <w:highlight w:val="none"/>
          <w:lang w:val="zh-CN"/>
        </w:rPr>
        <w:t>条件：</w:t>
      </w:r>
    </w:p>
    <w:p>
      <w:pPr>
        <w:pStyle w:val="7"/>
        <w:keepNext w:val="0"/>
        <w:keepLines w:val="0"/>
        <w:pageBreakBefore w:val="0"/>
        <w:widowControl w:val="0"/>
        <w:kinsoku/>
        <w:wordWrap/>
        <w:overflowPunct/>
        <w:topLinePunct w:val="0"/>
        <w:autoSpaceDE w:val="0"/>
        <w:autoSpaceDN w:val="0"/>
        <w:bidi w:val="0"/>
        <w:adjustRightInd/>
        <w:snapToGrid/>
        <w:spacing w:before="0" w:after="0" w:line="560" w:lineRule="exact"/>
        <w:ind w:right="0" w:rightChars="0" w:firstLine="640" w:firstLineChars="200"/>
        <w:jc w:val="both"/>
        <w:textAlignment w:val="auto"/>
        <w:outlineLvl w:val="9"/>
        <w:rPr>
          <w:rFonts w:hint="eastAsia" w:ascii="Times New Roman" w:hAnsi="Times New Roman" w:eastAsia="仿宋_GB2312"/>
          <w:color w:val="auto"/>
          <w:sz w:val="32"/>
          <w:highlight w:val="none"/>
          <w:lang w:val="zh-CN"/>
        </w:rPr>
      </w:pPr>
      <w:r>
        <w:rPr>
          <w:rFonts w:hint="eastAsia" w:ascii="Times New Roman" w:hAnsi="Times New Roman" w:eastAsia="仿宋_GB2312"/>
          <w:color w:val="auto"/>
          <w:sz w:val="32"/>
          <w:highlight w:val="none"/>
          <w:lang w:val="zh-CN"/>
        </w:rPr>
        <w:t>1、</w:t>
      </w:r>
      <w:r>
        <w:rPr>
          <w:rFonts w:hint="eastAsia" w:eastAsia="仿宋_GB2312"/>
          <w:color w:val="auto"/>
          <w:sz w:val="32"/>
          <w:highlight w:val="none"/>
          <w:lang w:val="en-US" w:eastAsia="zh-CN"/>
        </w:rPr>
        <w:t>由省委、省政府，市委、市政府，区委、区政府部署推进</w:t>
      </w:r>
      <w:r>
        <w:rPr>
          <w:rFonts w:hint="eastAsia" w:ascii="Times New Roman" w:hAnsi="Times New Roman" w:eastAsia="仿宋_GB2312"/>
          <w:color w:val="auto"/>
          <w:sz w:val="32"/>
          <w:highlight w:val="none"/>
          <w:lang w:val="zh-CN"/>
        </w:rPr>
        <w:t>的重大项目</w:t>
      </w:r>
      <w:r>
        <w:rPr>
          <w:rFonts w:hint="eastAsia" w:eastAsia="仿宋_GB2312"/>
          <w:color w:val="auto"/>
          <w:sz w:val="32"/>
          <w:highlight w:val="none"/>
          <w:lang w:val="zh-CN"/>
        </w:rPr>
        <w:t>。</w:t>
      </w:r>
    </w:p>
    <w:p>
      <w:pPr>
        <w:pStyle w:val="7"/>
        <w:keepNext w:val="0"/>
        <w:keepLines w:val="0"/>
        <w:pageBreakBefore w:val="0"/>
        <w:widowControl w:val="0"/>
        <w:kinsoku/>
        <w:wordWrap/>
        <w:overflowPunct/>
        <w:topLinePunct w:val="0"/>
        <w:autoSpaceDE w:val="0"/>
        <w:autoSpaceDN w:val="0"/>
        <w:bidi w:val="0"/>
        <w:adjustRightInd/>
        <w:snapToGrid/>
        <w:spacing w:before="0" w:after="0" w:line="560" w:lineRule="exact"/>
        <w:ind w:right="0" w:rightChars="0" w:firstLine="640" w:firstLineChars="200"/>
        <w:jc w:val="both"/>
        <w:textAlignment w:val="auto"/>
        <w:outlineLvl w:val="9"/>
        <w:rPr>
          <w:rFonts w:hint="eastAsia" w:ascii="Times New Roman" w:hAnsi="Times New Roman" w:eastAsia="仿宋_GB2312"/>
          <w:color w:val="auto"/>
          <w:sz w:val="32"/>
          <w:highlight w:val="none"/>
          <w:lang w:val="zh-CN"/>
        </w:rPr>
      </w:pPr>
      <w:r>
        <w:rPr>
          <w:rFonts w:hint="eastAsia" w:ascii="Times New Roman" w:hAnsi="Times New Roman" w:eastAsia="仿宋_GB2312"/>
          <w:color w:val="auto"/>
          <w:sz w:val="32"/>
          <w:highlight w:val="none"/>
          <w:lang w:val="en-US" w:eastAsia="zh-CN"/>
        </w:rPr>
        <w:t>2、</w:t>
      </w:r>
      <w:r>
        <w:rPr>
          <w:rFonts w:hint="eastAsia" w:eastAsia="仿宋_GB2312"/>
          <w:color w:val="auto"/>
          <w:sz w:val="32"/>
          <w:highlight w:val="none"/>
          <w:lang w:val="en-US" w:eastAsia="zh-CN"/>
        </w:rPr>
        <w:t>项目已纳入国家、省、市规划纲要及重大专项建设规划。</w:t>
      </w:r>
    </w:p>
    <w:p>
      <w:pPr>
        <w:pStyle w:val="7"/>
        <w:keepNext w:val="0"/>
        <w:keepLines w:val="0"/>
        <w:pageBreakBefore w:val="0"/>
        <w:widowControl w:val="0"/>
        <w:kinsoku/>
        <w:wordWrap/>
        <w:overflowPunct/>
        <w:topLinePunct w:val="0"/>
        <w:autoSpaceDE w:val="0"/>
        <w:autoSpaceDN w:val="0"/>
        <w:bidi w:val="0"/>
        <w:adjustRightInd/>
        <w:snapToGrid/>
        <w:spacing w:before="0" w:after="0" w:line="560" w:lineRule="exact"/>
        <w:ind w:right="0" w:rightChars="0" w:firstLine="640" w:firstLineChars="200"/>
        <w:jc w:val="both"/>
        <w:textAlignment w:val="auto"/>
        <w:outlineLvl w:val="9"/>
        <w:rPr>
          <w:rFonts w:hint="eastAsia" w:ascii="Times New Roman" w:hAnsi="Times New Roman" w:eastAsia="仿宋_GB2312"/>
          <w:color w:val="auto"/>
          <w:sz w:val="32"/>
          <w:highlight w:val="none"/>
          <w:lang w:val="zh-CN"/>
        </w:rPr>
      </w:pPr>
      <w:r>
        <w:rPr>
          <w:rFonts w:hint="eastAsia" w:ascii="Times New Roman" w:hAnsi="Times New Roman" w:eastAsia="仿宋_GB2312"/>
          <w:color w:val="auto"/>
          <w:sz w:val="32"/>
          <w:highlight w:val="none"/>
          <w:lang w:val="en-US" w:eastAsia="zh-CN"/>
        </w:rPr>
        <w:t>3、</w:t>
      </w:r>
      <w:r>
        <w:rPr>
          <w:rFonts w:hint="eastAsia" w:eastAsia="仿宋_GB2312"/>
          <w:color w:val="auto"/>
          <w:sz w:val="32"/>
          <w:highlight w:val="none"/>
          <w:lang w:val="en-US" w:eastAsia="zh-CN"/>
        </w:rPr>
        <w:t>项目符合区域发展规划布局要求，对本地区、本行业发展具有重要影响，需省、市、区平衡建设条件的重大项目。</w:t>
      </w:r>
    </w:p>
    <w:p>
      <w:pPr>
        <w:pStyle w:val="7"/>
        <w:keepNext w:val="0"/>
        <w:keepLines w:val="0"/>
        <w:pageBreakBefore w:val="0"/>
        <w:widowControl w:val="0"/>
        <w:kinsoku/>
        <w:wordWrap/>
        <w:overflowPunct/>
        <w:topLinePunct w:val="0"/>
        <w:autoSpaceDE w:val="0"/>
        <w:autoSpaceDN w:val="0"/>
        <w:bidi w:val="0"/>
        <w:adjustRightInd/>
        <w:snapToGrid/>
        <w:spacing w:before="0" w:after="0" w:line="560" w:lineRule="exact"/>
        <w:ind w:right="0" w:rightChars="0" w:firstLine="640" w:firstLineChars="200"/>
        <w:jc w:val="both"/>
        <w:textAlignment w:val="auto"/>
        <w:outlineLvl w:val="9"/>
        <w:rPr>
          <w:rFonts w:hint="eastAsia" w:ascii="Times New Roman" w:hAnsi="Times New Roman" w:eastAsia="仿宋_GB2312"/>
          <w:color w:val="auto"/>
          <w:sz w:val="32"/>
          <w:highlight w:val="none"/>
          <w:lang w:val="zh-CN"/>
        </w:rPr>
      </w:pPr>
      <w:r>
        <w:rPr>
          <w:rFonts w:hint="eastAsia" w:ascii="Times New Roman" w:hAnsi="Times New Roman" w:eastAsia="仿宋_GB2312"/>
          <w:color w:val="auto"/>
          <w:sz w:val="32"/>
          <w:highlight w:val="none"/>
          <w:lang w:val="zh-CN"/>
        </w:rPr>
        <w:t>4、</w:t>
      </w:r>
      <w:r>
        <w:rPr>
          <w:rFonts w:hint="eastAsia" w:ascii="仿宋_GB2312" w:hAnsi="仿宋_GB2312" w:eastAsia="仿宋_GB2312"/>
          <w:color w:val="000000"/>
          <w:sz w:val="32"/>
          <w:highlight w:val="none"/>
          <w:lang w:val="en-US" w:eastAsia="zh-CN"/>
        </w:rPr>
        <w:t>项目必须满足“多规合一”要求，涉及用地指标的项目必须当年能解决。</w:t>
      </w:r>
    </w:p>
    <w:p>
      <w:pPr>
        <w:pStyle w:val="7"/>
        <w:keepNext w:val="0"/>
        <w:keepLines w:val="0"/>
        <w:pageBreakBefore w:val="0"/>
        <w:widowControl w:val="0"/>
        <w:kinsoku/>
        <w:wordWrap/>
        <w:overflowPunct/>
        <w:topLinePunct w:val="0"/>
        <w:autoSpaceDE w:val="0"/>
        <w:autoSpaceDN w:val="0"/>
        <w:bidi w:val="0"/>
        <w:adjustRightInd/>
        <w:snapToGrid/>
        <w:spacing w:before="0" w:after="0" w:line="560" w:lineRule="exact"/>
        <w:ind w:right="0" w:rightChars="0" w:firstLine="640" w:firstLineChars="200"/>
        <w:jc w:val="both"/>
        <w:textAlignment w:val="auto"/>
        <w:outlineLvl w:val="9"/>
        <w:rPr>
          <w:rFonts w:hint="eastAsia" w:ascii="仿宋_GB2312" w:hAnsi="仿宋_GB2312" w:eastAsia="仿宋_GB2312"/>
          <w:color w:val="000000"/>
          <w:sz w:val="32"/>
          <w:highlight w:val="none"/>
          <w:lang w:eastAsia="zh-CN"/>
        </w:rPr>
      </w:pPr>
      <w:r>
        <w:rPr>
          <w:rFonts w:hint="eastAsia" w:ascii="Times New Roman" w:hAnsi="Times New Roman" w:eastAsia="仿宋_GB2312"/>
          <w:color w:val="auto"/>
          <w:sz w:val="32"/>
          <w:highlight w:val="none"/>
          <w:lang w:val="zh-CN"/>
        </w:rPr>
        <w:t>5、</w:t>
      </w:r>
      <w:r>
        <w:rPr>
          <w:rFonts w:hint="eastAsia" w:ascii="仿宋_GB2312" w:hAnsi="仿宋_GB2312" w:eastAsia="仿宋_GB2312"/>
          <w:color w:val="000000"/>
          <w:sz w:val="32"/>
          <w:highlight w:val="none"/>
        </w:rPr>
        <w:t>产业类申报项目年度投资额</w:t>
      </w:r>
      <w:r>
        <w:rPr>
          <w:rFonts w:hint="eastAsia" w:ascii="仿宋_GB2312" w:hAnsi="仿宋_GB2312" w:eastAsia="仿宋_GB2312"/>
          <w:color w:val="000000"/>
          <w:sz w:val="32"/>
          <w:highlight w:val="none"/>
          <w:lang w:val="en-US" w:eastAsia="zh-CN"/>
        </w:rPr>
        <w:t>3</w:t>
      </w:r>
      <w:r>
        <w:rPr>
          <w:rFonts w:hint="eastAsia" w:ascii="仿宋_GB2312" w:hAnsi="仿宋_GB2312" w:eastAsia="仿宋_GB2312"/>
          <w:color w:val="000000"/>
          <w:sz w:val="32"/>
          <w:highlight w:val="none"/>
        </w:rPr>
        <w:t>000万元以上，政府财政投资及其他类项目年度投资额1000万元以上</w:t>
      </w:r>
      <w:r>
        <w:rPr>
          <w:rFonts w:hint="eastAsia" w:ascii="仿宋_GB2312" w:hAnsi="仿宋_GB2312" w:eastAsia="仿宋_GB2312"/>
          <w:color w:val="000000"/>
          <w:sz w:val="32"/>
          <w:highlight w:val="none"/>
          <w:lang w:eastAsia="zh-CN"/>
        </w:rPr>
        <w:t>。</w:t>
      </w:r>
    </w:p>
    <w:p>
      <w:pPr>
        <w:pStyle w:val="7"/>
        <w:keepNext w:val="0"/>
        <w:keepLines w:val="0"/>
        <w:pageBreakBefore w:val="0"/>
        <w:widowControl w:val="0"/>
        <w:kinsoku/>
        <w:wordWrap/>
        <w:overflowPunct/>
        <w:topLinePunct w:val="0"/>
        <w:autoSpaceDE w:val="0"/>
        <w:autoSpaceDN w:val="0"/>
        <w:bidi w:val="0"/>
        <w:adjustRightInd/>
        <w:snapToGrid/>
        <w:spacing w:before="0" w:after="0" w:line="560" w:lineRule="exact"/>
        <w:ind w:right="0" w:rightChars="0" w:firstLine="640" w:firstLineChars="200"/>
        <w:jc w:val="both"/>
        <w:textAlignment w:val="auto"/>
        <w:outlineLvl w:val="9"/>
        <w:rPr>
          <w:rFonts w:hint="default" w:ascii="仿宋_GB2312" w:hAnsi="仿宋_GB2312" w:eastAsia="仿宋_GB2312"/>
          <w:color w:val="000000"/>
          <w:sz w:val="32"/>
          <w:highlight w:val="none"/>
          <w:lang w:val="en-US" w:eastAsia="zh-CN"/>
        </w:rPr>
      </w:pPr>
      <w:r>
        <w:rPr>
          <w:rFonts w:hint="eastAsia" w:eastAsia="仿宋_GB2312"/>
          <w:color w:val="auto"/>
          <w:sz w:val="32"/>
          <w:highlight w:val="none"/>
          <w:lang w:val="en-US" w:eastAsia="zh-CN"/>
        </w:rPr>
        <w:t>6</w:t>
      </w:r>
      <w:r>
        <w:rPr>
          <w:rFonts w:hint="eastAsia" w:ascii="Times New Roman" w:hAnsi="Times New Roman" w:eastAsia="仿宋_GB2312"/>
          <w:color w:val="auto"/>
          <w:sz w:val="32"/>
          <w:highlight w:val="none"/>
          <w:lang w:val="zh-CN"/>
        </w:rPr>
        <w:t>、</w:t>
      </w:r>
      <w:r>
        <w:rPr>
          <w:rFonts w:hint="eastAsia" w:ascii="仿宋_GB2312" w:hAnsi="仿宋_GB2312" w:eastAsia="仿宋_GB2312"/>
          <w:color w:val="000000"/>
          <w:sz w:val="32"/>
          <w:highlight w:val="none"/>
          <w:lang w:val="en-US" w:eastAsia="zh-CN"/>
        </w:rPr>
        <w:t>为保持项目的延续性，除已建成或终止建设项目外，经原单位继续申报，2023年省、市、区重点项目原则上继续列为2024年省、市、区重点项目。结转的项目，原则上投资额1000万元以上。符合条件且已安排中央预算内投资、专项债券资金项目，原则上要申报列入计划，优先给予支持。</w:t>
      </w:r>
    </w:p>
    <w:p>
      <w:pPr>
        <w:pStyle w:val="7"/>
        <w:keepNext w:val="0"/>
        <w:keepLines w:val="0"/>
        <w:pageBreakBefore w:val="0"/>
        <w:widowControl w:val="0"/>
        <w:kinsoku/>
        <w:wordWrap/>
        <w:overflowPunct/>
        <w:topLinePunct w:val="0"/>
        <w:autoSpaceDE w:val="0"/>
        <w:autoSpaceDN w:val="0"/>
        <w:bidi w:val="0"/>
        <w:adjustRightInd/>
        <w:snapToGrid/>
        <w:spacing w:before="0" w:after="0" w:line="560" w:lineRule="exact"/>
        <w:ind w:right="0" w:rightChars="0" w:firstLine="640" w:firstLineChars="200"/>
        <w:jc w:val="both"/>
        <w:textAlignment w:val="auto"/>
        <w:outlineLvl w:val="9"/>
        <w:rPr>
          <w:rFonts w:hint="eastAsia" w:ascii="Times New Roman" w:hAnsi="Times New Roman" w:eastAsia="仿宋_GB2312"/>
          <w:color w:val="auto"/>
          <w:sz w:val="32"/>
          <w:highlight w:val="none"/>
          <w:lang w:val="zh-CN"/>
        </w:rPr>
      </w:pPr>
      <w:r>
        <w:rPr>
          <w:rFonts w:hint="eastAsia" w:eastAsia="仿宋_GB2312"/>
          <w:color w:val="auto"/>
          <w:sz w:val="32"/>
          <w:highlight w:val="none"/>
          <w:lang w:val="en-US" w:eastAsia="zh-CN"/>
        </w:rPr>
        <w:t>7</w:t>
      </w:r>
      <w:r>
        <w:rPr>
          <w:rFonts w:hint="eastAsia" w:ascii="Times New Roman" w:hAnsi="Times New Roman" w:eastAsia="仿宋_GB2312"/>
          <w:color w:val="auto"/>
          <w:sz w:val="32"/>
          <w:highlight w:val="none"/>
          <w:lang w:val="zh-CN"/>
        </w:rPr>
        <w:t>、</w:t>
      </w:r>
      <w:r>
        <w:rPr>
          <w:rFonts w:hint="eastAsia" w:eastAsia="仿宋_GB2312"/>
          <w:color w:val="auto"/>
          <w:sz w:val="32"/>
          <w:highlight w:val="none"/>
          <w:lang w:val="en-US" w:eastAsia="zh-CN"/>
        </w:rPr>
        <w:t>申报2024年新开工项目，</w:t>
      </w:r>
      <w:r>
        <w:rPr>
          <w:rFonts w:hint="eastAsia" w:ascii="Times New Roman" w:hAnsi="Times New Roman" w:eastAsia="仿宋_GB2312"/>
          <w:color w:val="auto"/>
          <w:sz w:val="32"/>
          <w:highlight w:val="none"/>
          <w:lang w:val="zh-CN"/>
        </w:rPr>
        <w:t>项目</w:t>
      </w:r>
      <w:r>
        <w:rPr>
          <w:rFonts w:hint="eastAsia" w:eastAsia="仿宋_GB2312"/>
          <w:color w:val="auto"/>
          <w:sz w:val="32"/>
          <w:highlight w:val="none"/>
          <w:lang w:val="en-US" w:eastAsia="zh-CN"/>
        </w:rPr>
        <w:t>必须</w:t>
      </w:r>
      <w:r>
        <w:rPr>
          <w:rFonts w:hint="eastAsia" w:ascii="Times New Roman" w:hAnsi="Times New Roman" w:eastAsia="仿宋_GB2312"/>
          <w:color w:val="auto"/>
          <w:sz w:val="32"/>
          <w:highlight w:val="none"/>
          <w:lang w:val="zh-CN"/>
        </w:rPr>
        <w:t>已</w:t>
      </w:r>
      <w:r>
        <w:rPr>
          <w:rFonts w:hint="eastAsia" w:eastAsia="仿宋_GB2312"/>
          <w:color w:val="auto"/>
          <w:sz w:val="32"/>
          <w:highlight w:val="none"/>
          <w:lang w:val="en-US" w:eastAsia="zh-CN"/>
        </w:rPr>
        <w:t>审批、核准或备案</w:t>
      </w:r>
      <w:r>
        <w:rPr>
          <w:rFonts w:hint="eastAsia" w:ascii="Times New Roman" w:hAnsi="Times New Roman" w:eastAsia="仿宋_GB2312"/>
          <w:color w:val="auto"/>
          <w:sz w:val="32"/>
          <w:highlight w:val="none"/>
          <w:lang w:val="zh-CN"/>
        </w:rPr>
        <w:t>，</w:t>
      </w:r>
      <w:r>
        <w:rPr>
          <w:rFonts w:hint="eastAsia" w:eastAsia="仿宋_GB2312"/>
          <w:color w:val="auto"/>
          <w:sz w:val="32"/>
          <w:highlight w:val="none"/>
          <w:lang w:val="en-US" w:eastAsia="zh-CN"/>
        </w:rPr>
        <w:t>规划选址、</w:t>
      </w:r>
      <w:r>
        <w:rPr>
          <w:rFonts w:hint="eastAsia" w:ascii="Times New Roman" w:hAnsi="Times New Roman" w:eastAsia="仿宋_GB2312"/>
          <w:color w:val="auto"/>
          <w:sz w:val="32"/>
          <w:highlight w:val="none"/>
          <w:lang w:val="zh-CN"/>
        </w:rPr>
        <w:t>建设用地、资金、环评等前期建设条件已基本落实，202</w:t>
      </w:r>
      <w:r>
        <w:rPr>
          <w:rFonts w:hint="eastAsia" w:eastAsia="仿宋_GB2312"/>
          <w:color w:val="auto"/>
          <w:sz w:val="32"/>
          <w:highlight w:val="none"/>
          <w:lang w:val="en-US" w:eastAsia="zh-CN"/>
        </w:rPr>
        <w:t>4</w:t>
      </w:r>
      <w:r>
        <w:rPr>
          <w:rFonts w:hint="eastAsia" w:ascii="Times New Roman" w:hAnsi="Times New Roman" w:eastAsia="仿宋_GB2312"/>
          <w:color w:val="auto"/>
          <w:sz w:val="32"/>
          <w:highlight w:val="none"/>
          <w:lang w:val="zh-CN"/>
        </w:rPr>
        <w:t>年9月</w:t>
      </w:r>
      <w:r>
        <w:rPr>
          <w:rFonts w:hint="eastAsia" w:eastAsia="仿宋_GB2312"/>
          <w:color w:val="auto"/>
          <w:sz w:val="32"/>
          <w:highlight w:val="none"/>
          <w:lang w:val="en-US" w:eastAsia="zh-CN"/>
        </w:rPr>
        <w:t>底</w:t>
      </w:r>
      <w:r>
        <w:rPr>
          <w:rFonts w:hint="eastAsia" w:ascii="Times New Roman" w:hAnsi="Times New Roman" w:eastAsia="仿宋_GB2312"/>
          <w:color w:val="auto"/>
          <w:sz w:val="32"/>
          <w:highlight w:val="none"/>
          <w:lang w:val="zh-CN"/>
        </w:rPr>
        <w:t>前</w:t>
      </w:r>
      <w:r>
        <w:rPr>
          <w:rFonts w:hint="eastAsia" w:eastAsia="仿宋_GB2312"/>
          <w:color w:val="auto"/>
          <w:sz w:val="32"/>
          <w:highlight w:val="none"/>
          <w:lang w:val="en-US" w:eastAsia="zh-CN"/>
        </w:rPr>
        <w:t>具备开工建设条件；申报2024年前期预备项目，建设方案必须已确定，2025年基本具备开工建设条件</w:t>
      </w:r>
      <w:r>
        <w:rPr>
          <w:rFonts w:hint="eastAsia" w:ascii="Times New Roman" w:hAnsi="Times New Roman" w:eastAsia="仿宋_GB2312"/>
          <w:color w:val="auto"/>
          <w:sz w:val="32"/>
          <w:highlight w:val="none"/>
          <w:lang w:val="zh-CN"/>
        </w:rPr>
        <w:t>；</w:t>
      </w:r>
    </w:p>
    <w:p>
      <w:pPr>
        <w:pStyle w:val="7"/>
        <w:keepNext w:val="0"/>
        <w:keepLines w:val="0"/>
        <w:pageBreakBefore w:val="0"/>
        <w:widowControl w:val="0"/>
        <w:kinsoku/>
        <w:wordWrap/>
        <w:overflowPunct/>
        <w:topLinePunct w:val="0"/>
        <w:autoSpaceDE w:val="0"/>
        <w:autoSpaceDN w:val="0"/>
        <w:bidi w:val="0"/>
        <w:adjustRightInd/>
        <w:snapToGrid/>
        <w:spacing w:before="0" w:after="0" w:line="560" w:lineRule="exact"/>
        <w:ind w:right="0" w:rightChars="0" w:firstLine="640" w:firstLineChars="200"/>
        <w:jc w:val="both"/>
        <w:textAlignment w:val="auto"/>
        <w:outlineLvl w:val="9"/>
        <w:rPr>
          <w:rFonts w:hint="eastAsia" w:ascii="Times New Roman" w:hAnsi="Times New Roman" w:eastAsia="仿宋_GB2312"/>
          <w:color w:val="auto"/>
          <w:sz w:val="32"/>
          <w:highlight w:val="none"/>
          <w:lang w:val="zh-CN"/>
        </w:rPr>
      </w:pPr>
      <w:r>
        <w:rPr>
          <w:rFonts w:hint="eastAsia" w:eastAsia="仿宋_GB2312"/>
          <w:color w:val="auto"/>
          <w:sz w:val="32"/>
          <w:highlight w:val="none"/>
          <w:lang w:val="en-US" w:eastAsia="zh-CN"/>
        </w:rPr>
        <w:t>8</w:t>
      </w:r>
      <w:r>
        <w:rPr>
          <w:rFonts w:hint="eastAsia" w:ascii="Times New Roman" w:hAnsi="Times New Roman" w:eastAsia="仿宋_GB2312"/>
          <w:color w:val="auto"/>
          <w:sz w:val="32"/>
          <w:highlight w:val="none"/>
          <w:lang w:val="zh-CN"/>
        </w:rPr>
        <w:t>、已列入</w:t>
      </w:r>
      <w:r>
        <w:rPr>
          <w:rFonts w:hint="eastAsia" w:ascii="Times New Roman" w:hAnsi="Times New Roman" w:eastAsia="仿宋_GB2312"/>
          <w:color w:val="auto"/>
          <w:sz w:val="32"/>
          <w:highlight w:val="none"/>
          <w:lang w:val="en-US" w:eastAsia="zh-CN"/>
        </w:rPr>
        <w:t>202</w:t>
      </w:r>
      <w:r>
        <w:rPr>
          <w:rFonts w:hint="eastAsia" w:eastAsia="仿宋_GB2312"/>
          <w:color w:val="auto"/>
          <w:sz w:val="32"/>
          <w:highlight w:val="none"/>
          <w:lang w:val="en-US" w:eastAsia="zh-CN"/>
        </w:rPr>
        <w:t>3</w:t>
      </w:r>
      <w:r>
        <w:rPr>
          <w:rFonts w:hint="eastAsia" w:ascii="Times New Roman" w:hAnsi="Times New Roman" w:eastAsia="仿宋_GB2312"/>
          <w:color w:val="auto"/>
          <w:sz w:val="32"/>
          <w:highlight w:val="none"/>
          <w:lang w:val="zh-CN"/>
        </w:rPr>
        <w:t>年区重点建设项目计划，因建设条件不落实而没有实质性进展或连续两年计划开工而未开工的项目，不再列入202</w:t>
      </w:r>
      <w:r>
        <w:rPr>
          <w:rFonts w:hint="eastAsia" w:eastAsia="仿宋_GB2312"/>
          <w:color w:val="auto"/>
          <w:sz w:val="32"/>
          <w:highlight w:val="none"/>
          <w:lang w:val="en-US" w:eastAsia="zh-CN"/>
        </w:rPr>
        <w:t>4</w:t>
      </w:r>
      <w:r>
        <w:rPr>
          <w:rFonts w:hint="eastAsia" w:ascii="Times New Roman" w:hAnsi="Times New Roman" w:eastAsia="仿宋_GB2312"/>
          <w:color w:val="auto"/>
          <w:sz w:val="32"/>
          <w:highlight w:val="none"/>
          <w:lang w:val="zh-CN"/>
        </w:rPr>
        <w:t>年区重点建设项目计划；</w:t>
      </w:r>
    </w:p>
    <w:p>
      <w:pPr>
        <w:pStyle w:val="7"/>
        <w:keepNext w:val="0"/>
        <w:keepLines w:val="0"/>
        <w:pageBreakBefore w:val="0"/>
        <w:widowControl w:val="0"/>
        <w:kinsoku/>
        <w:wordWrap/>
        <w:overflowPunct/>
        <w:topLinePunct w:val="0"/>
        <w:autoSpaceDE w:val="0"/>
        <w:autoSpaceDN w:val="0"/>
        <w:bidi w:val="0"/>
        <w:adjustRightInd/>
        <w:snapToGrid/>
        <w:spacing w:before="0" w:after="0" w:line="560" w:lineRule="exact"/>
        <w:ind w:right="0" w:rightChars="0" w:firstLine="640" w:firstLineChars="200"/>
        <w:jc w:val="both"/>
        <w:textAlignment w:val="auto"/>
        <w:outlineLvl w:val="9"/>
        <w:rPr>
          <w:rFonts w:hint="eastAsia" w:ascii="Times New Roman" w:hAnsi="Times New Roman" w:eastAsia="仿宋_GB2312"/>
          <w:color w:val="auto"/>
          <w:sz w:val="32"/>
          <w:highlight w:val="none"/>
          <w:lang w:val="zh-CN"/>
        </w:rPr>
      </w:pPr>
      <w:r>
        <w:rPr>
          <w:rFonts w:hint="eastAsia" w:eastAsia="仿宋_GB2312"/>
          <w:color w:val="auto"/>
          <w:sz w:val="32"/>
          <w:highlight w:val="none"/>
          <w:lang w:val="en-US" w:eastAsia="zh-CN"/>
        </w:rPr>
        <w:t>9</w:t>
      </w:r>
      <w:r>
        <w:rPr>
          <w:rFonts w:hint="eastAsia" w:ascii="Times New Roman" w:hAnsi="Times New Roman" w:eastAsia="仿宋_GB2312"/>
          <w:color w:val="auto"/>
          <w:sz w:val="32"/>
          <w:highlight w:val="none"/>
          <w:lang w:val="zh-CN"/>
        </w:rPr>
        <w:t>、房地产项目（保障性住房建设项目除外）不列入重点建设项目计划</w:t>
      </w:r>
      <w:r>
        <w:rPr>
          <w:rFonts w:hint="eastAsia" w:eastAsia="仿宋_GB2312"/>
          <w:color w:val="auto"/>
          <w:sz w:val="32"/>
          <w:highlight w:val="none"/>
          <w:lang w:val="zh-CN"/>
        </w:rPr>
        <w:t>；</w:t>
      </w:r>
    </w:p>
    <w:p>
      <w:pPr>
        <w:pStyle w:val="7"/>
        <w:keepNext w:val="0"/>
        <w:keepLines w:val="0"/>
        <w:pageBreakBefore w:val="0"/>
        <w:widowControl w:val="0"/>
        <w:kinsoku/>
        <w:wordWrap/>
        <w:overflowPunct/>
        <w:topLinePunct w:val="0"/>
        <w:autoSpaceDE w:val="0"/>
        <w:autoSpaceDN w:val="0"/>
        <w:bidi w:val="0"/>
        <w:adjustRightInd/>
        <w:snapToGrid/>
        <w:spacing w:before="0" w:after="0" w:line="560" w:lineRule="exact"/>
        <w:ind w:right="0" w:rightChars="0" w:firstLine="640" w:firstLineChars="200"/>
        <w:jc w:val="both"/>
        <w:textAlignment w:val="auto"/>
        <w:outlineLvl w:val="9"/>
        <w:rPr>
          <w:rFonts w:hint="eastAsia" w:ascii="Times New Roman" w:hAnsi="Times New Roman" w:eastAsia="仿宋_GB2312"/>
          <w:color w:val="auto"/>
          <w:sz w:val="32"/>
          <w:highlight w:val="none"/>
          <w:lang w:val="en-US" w:eastAsia="zh-CN"/>
        </w:rPr>
      </w:pPr>
      <w:r>
        <w:rPr>
          <w:rFonts w:hint="eastAsia" w:eastAsia="仿宋_GB2312"/>
          <w:color w:val="auto"/>
          <w:sz w:val="32"/>
          <w:highlight w:val="none"/>
          <w:lang w:val="en-US" w:eastAsia="zh-CN"/>
        </w:rPr>
        <w:t>10、</w:t>
      </w:r>
      <w:r>
        <w:rPr>
          <w:rFonts w:hint="eastAsia" w:ascii="仿宋_GB2312" w:hAnsi="仿宋_GB2312" w:eastAsia="仿宋_GB2312"/>
          <w:color w:val="000000"/>
          <w:sz w:val="32"/>
          <w:szCs w:val="28"/>
          <w:highlight w:val="none"/>
        </w:rPr>
        <w:t>列入《负面清单》管理的项目不得列入区重点建设项目计划</w:t>
      </w:r>
      <w:r>
        <w:rPr>
          <w:rFonts w:hint="eastAsia" w:ascii="仿宋_GB2312" w:hAnsi="仿宋_GB2312" w:eastAsia="仿宋_GB2312"/>
          <w:color w:val="000000"/>
          <w:sz w:val="32"/>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olor w:val="auto"/>
          <w:sz w:val="32"/>
          <w:highlight w:val="none"/>
          <w:lang w:val="zh-CN"/>
        </w:rPr>
      </w:pPr>
      <w:r>
        <w:rPr>
          <w:rFonts w:hint="eastAsia" w:ascii="黑体" w:hAnsi="黑体" w:eastAsia="黑体"/>
          <w:color w:val="auto"/>
          <w:sz w:val="32"/>
          <w:highlight w:val="none"/>
          <w:lang w:val="zh-CN"/>
        </w:rPr>
        <w:t>三、计划安排情况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Times New Roman" w:hAnsi="Times New Roman" w:eastAsia="仿宋_GB2312" w:cs="Times New Roman"/>
          <w:color w:val="auto"/>
          <w:kern w:val="2"/>
          <w:sz w:val="32"/>
          <w:szCs w:val="22"/>
          <w:highlight w:val="none"/>
          <w:lang w:val="en-US" w:eastAsia="zh-CN"/>
        </w:rPr>
      </w:pPr>
      <w:r>
        <w:rPr>
          <w:rFonts w:hint="eastAsia" w:ascii="仿宋_GB2312" w:hAnsi="仿宋_GB2312" w:eastAsia="仿宋_GB2312" w:cs="仿宋_GB2312"/>
          <w:color w:val="auto"/>
          <w:kern w:val="2"/>
          <w:sz w:val="32"/>
          <w:szCs w:val="32"/>
          <w:highlight w:val="none"/>
          <w:lang w:val="en-US" w:eastAsia="zh-CN"/>
        </w:rPr>
        <w:t>我区计划列入2024年重点建设项目共51项，总投资565.79亿元，年度投资计划</w:t>
      </w:r>
      <w:r>
        <w:rPr>
          <w:rFonts w:hint="default" w:ascii="仿宋_GB2312" w:hAnsi="仿宋_GB2312" w:eastAsia="仿宋_GB2312" w:cs="仿宋_GB2312"/>
          <w:color w:val="auto"/>
          <w:kern w:val="2"/>
          <w:sz w:val="32"/>
          <w:szCs w:val="32"/>
          <w:highlight w:val="none"/>
          <w:lang w:val="en-US" w:eastAsia="zh-CN"/>
        </w:rPr>
        <w:t>75</w:t>
      </w:r>
      <w:r>
        <w:rPr>
          <w:rFonts w:hint="eastAsia" w:ascii="仿宋_GB2312" w:hAnsi="仿宋_GB2312" w:eastAsia="仿宋_GB2312" w:cs="仿宋_GB2312"/>
          <w:color w:val="auto"/>
          <w:kern w:val="2"/>
          <w:sz w:val="32"/>
          <w:szCs w:val="32"/>
          <w:highlight w:val="none"/>
          <w:lang w:val="en-US" w:eastAsia="zh-CN"/>
        </w:rPr>
        <w:t>.</w:t>
      </w:r>
      <w:r>
        <w:rPr>
          <w:rFonts w:hint="default" w:ascii="仿宋_GB2312" w:hAnsi="仿宋_GB2312" w:eastAsia="仿宋_GB2312" w:cs="仿宋_GB2312"/>
          <w:color w:val="auto"/>
          <w:kern w:val="2"/>
          <w:sz w:val="32"/>
          <w:szCs w:val="32"/>
          <w:highlight w:val="none"/>
          <w:lang w:val="en-US" w:eastAsia="zh-CN"/>
        </w:rPr>
        <w:t>69</w:t>
      </w:r>
      <w:r>
        <w:rPr>
          <w:rFonts w:hint="eastAsia" w:ascii="仿宋_GB2312" w:hAnsi="仿宋_GB2312" w:eastAsia="仿宋_GB2312" w:cs="仿宋_GB2312"/>
          <w:color w:val="auto"/>
          <w:kern w:val="2"/>
          <w:sz w:val="32"/>
          <w:szCs w:val="32"/>
          <w:highlight w:val="none"/>
          <w:lang w:val="en-US" w:eastAsia="zh-CN"/>
        </w:rPr>
        <w:t>亿元，其中市重点建设项目共2</w:t>
      </w:r>
      <w:r>
        <w:rPr>
          <w:rFonts w:hint="default" w:ascii="仿宋_GB2312" w:hAnsi="仿宋_GB2312" w:eastAsia="仿宋_GB2312" w:cs="仿宋_GB2312"/>
          <w:color w:val="auto"/>
          <w:kern w:val="2"/>
          <w:sz w:val="32"/>
          <w:szCs w:val="32"/>
          <w:highlight w:val="none"/>
          <w:lang w:val="en-US" w:eastAsia="zh-CN"/>
        </w:rPr>
        <w:t>6</w:t>
      </w:r>
      <w:r>
        <w:rPr>
          <w:rFonts w:hint="eastAsia" w:ascii="仿宋_GB2312" w:hAnsi="仿宋_GB2312" w:eastAsia="仿宋_GB2312" w:cs="仿宋_GB2312"/>
          <w:color w:val="auto"/>
          <w:kern w:val="2"/>
          <w:sz w:val="32"/>
          <w:szCs w:val="32"/>
          <w:highlight w:val="none"/>
          <w:lang w:val="en-US" w:eastAsia="zh-CN"/>
        </w:rPr>
        <w:t>项，总投资4</w:t>
      </w:r>
      <w:r>
        <w:rPr>
          <w:rFonts w:hint="default" w:ascii="仿宋_GB2312" w:hAnsi="仿宋_GB2312" w:eastAsia="仿宋_GB2312" w:cs="仿宋_GB2312"/>
          <w:color w:val="auto"/>
          <w:kern w:val="2"/>
          <w:sz w:val="32"/>
          <w:szCs w:val="32"/>
          <w:highlight w:val="none"/>
          <w:lang w:val="en-US" w:eastAsia="zh-CN"/>
        </w:rPr>
        <w:t>64</w:t>
      </w:r>
      <w:r>
        <w:rPr>
          <w:rFonts w:hint="eastAsia" w:ascii="仿宋_GB2312" w:hAnsi="仿宋_GB2312" w:eastAsia="仿宋_GB2312" w:cs="仿宋_GB2312"/>
          <w:color w:val="auto"/>
          <w:kern w:val="2"/>
          <w:sz w:val="32"/>
          <w:szCs w:val="32"/>
          <w:highlight w:val="none"/>
          <w:lang w:val="en-US" w:eastAsia="zh-CN"/>
        </w:rPr>
        <w:t>.</w:t>
      </w:r>
      <w:r>
        <w:rPr>
          <w:rFonts w:hint="default" w:ascii="仿宋_GB2312" w:hAnsi="仿宋_GB2312" w:eastAsia="仿宋_GB2312" w:cs="仿宋_GB2312"/>
          <w:color w:val="auto"/>
          <w:kern w:val="2"/>
          <w:sz w:val="32"/>
          <w:szCs w:val="32"/>
          <w:highlight w:val="none"/>
          <w:lang w:val="en-US" w:eastAsia="zh-CN"/>
        </w:rPr>
        <w:t>53</w:t>
      </w:r>
      <w:r>
        <w:rPr>
          <w:rFonts w:hint="eastAsia" w:ascii="仿宋_GB2312" w:hAnsi="仿宋_GB2312" w:eastAsia="仿宋_GB2312" w:cs="仿宋_GB2312"/>
          <w:color w:val="auto"/>
          <w:kern w:val="2"/>
          <w:sz w:val="32"/>
          <w:szCs w:val="32"/>
          <w:highlight w:val="none"/>
          <w:lang w:val="en-US" w:eastAsia="zh-CN"/>
        </w:rPr>
        <w:t>亿元，年度投资计划</w:t>
      </w:r>
      <w:r>
        <w:rPr>
          <w:rFonts w:hint="default" w:ascii="仿宋_GB2312" w:hAnsi="仿宋_GB2312" w:eastAsia="仿宋_GB2312" w:cs="仿宋_GB2312"/>
          <w:color w:val="auto"/>
          <w:kern w:val="2"/>
          <w:sz w:val="32"/>
          <w:szCs w:val="32"/>
          <w:highlight w:val="none"/>
          <w:lang w:val="en-US" w:eastAsia="zh-CN"/>
        </w:rPr>
        <w:t>64</w:t>
      </w:r>
      <w:r>
        <w:rPr>
          <w:rFonts w:hint="eastAsia" w:ascii="仿宋_GB2312" w:hAnsi="仿宋_GB2312" w:eastAsia="仿宋_GB2312" w:cs="仿宋_GB2312"/>
          <w:color w:val="auto"/>
          <w:kern w:val="2"/>
          <w:sz w:val="32"/>
          <w:szCs w:val="32"/>
          <w:highlight w:val="none"/>
          <w:lang w:val="en-US" w:eastAsia="zh-CN"/>
        </w:rPr>
        <w:t>亿元。与2023年相比，区重点项目数减少7项，总投资增加116.91亿元，年度投资计划增加</w:t>
      </w:r>
      <w:r>
        <w:rPr>
          <w:rFonts w:hint="default" w:ascii="仿宋_GB2312" w:hAnsi="仿宋_GB2312" w:eastAsia="仿宋_GB2312" w:cs="仿宋_GB2312"/>
          <w:color w:val="auto"/>
          <w:kern w:val="2"/>
          <w:sz w:val="32"/>
          <w:szCs w:val="32"/>
          <w:highlight w:val="none"/>
          <w:lang w:val="en-US" w:eastAsia="zh-CN"/>
        </w:rPr>
        <w:t>9.69</w:t>
      </w:r>
      <w:r>
        <w:rPr>
          <w:rFonts w:hint="eastAsia" w:ascii="仿宋_GB2312" w:hAnsi="仿宋_GB2312" w:eastAsia="仿宋_GB2312" w:cs="仿宋_GB2312"/>
          <w:color w:val="auto"/>
          <w:kern w:val="2"/>
          <w:sz w:val="32"/>
          <w:szCs w:val="32"/>
          <w:highlight w:val="none"/>
          <w:lang w:val="en-US" w:eastAsia="zh-CN"/>
        </w:rPr>
        <w:t>亿元。其中市重点项目数增加</w:t>
      </w:r>
      <w:r>
        <w:rPr>
          <w:rFonts w:hint="default" w:ascii="仿宋_GB2312" w:hAnsi="仿宋_GB2312" w:eastAsia="仿宋_GB2312" w:cs="仿宋_GB2312"/>
          <w:color w:val="auto"/>
          <w:kern w:val="2"/>
          <w:sz w:val="32"/>
          <w:szCs w:val="32"/>
          <w:highlight w:val="none"/>
          <w:lang w:val="en-US" w:eastAsia="zh-CN"/>
        </w:rPr>
        <w:t>1</w:t>
      </w:r>
      <w:r>
        <w:rPr>
          <w:rFonts w:hint="eastAsia" w:ascii="仿宋_GB2312" w:hAnsi="仿宋_GB2312" w:eastAsia="仿宋_GB2312" w:cs="仿宋_GB2312"/>
          <w:color w:val="auto"/>
          <w:kern w:val="2"/>
          <w:sz w:val="32"/>
          <w:szCs w:val="32"/>
          <w:highlight w:val="none"/>
          <w:lang w:val="en-US" w:eastAsia="zh-CN"/>
        </w:rPr>
        <w:t>项，总投资增加1</w:t>
      </w:r>
      <w:r>
        <w:rPr>
          <w:rFonts w:hint="default" w:ascii="仿宋_GB2312" w:hAnsi="仿宋_GB2312" w:eastAsia="仿宋_GB2312" w:cs="仿宋_GB2312"/>
          <w:color w:val="auto"/>
          <w:kern w:val="2"/>
          <w:sz w:val="32"/>
          <w:szCs w:val="32"/>
          <w:highlight w:val="none"/>
          <w:lang w:val="en-US" w:eastAsia="zh-CN"/>
        </w:rPr>
        <w:t>00</w:t>
      </w:r>
      <w:r>
        <w:rPr>
          <w:rFonts w:hint="eastAsia" w:ascii="仿宋_GB2312" w:hAnsi="仿宋_GB2312" w:eastAsia="仿宋_GB2312" w:cs="仿宋_GB2312"/>
          <w:color w:val="auto"/>
          <w:kern w:val="2"/>
          <w:sz w:val="32"/>
          <w:szCs w:val="32"/>
          <w:highlight w:val="none"/>
          <w:lang w:val="en-US" w:eastAsia="zh-CN"/>
        </w:rPr>
        <w:t>.</w:t>
      </w:r>
      <w:r>
        <w:rPr>
          <w:rFonts w:hint="default" w:ascii="仿宋_GB2312" w:hAnsi="仿宋_GB2312" w:eastAsia="仿宋_GB2312" w:cs="仿宋_GB2312"/>
          <w:color w:val="auto"/>
          <w:kern w:val="2"/>
          <w:sz w:val="32"/>
          <w:szCs w:val="32"/>
          <w:highlight w:val="none"/>
          <w:lang w:val="en-US" w:eastAsia="zh-CN"/>
        </w:rPr>
        <w:t>8</w:t>
      </w:r>
      <w:r>
        <w:rPr>
          <w:rFonts w:hint="eastAsia" w:ascii="仿宋_GB2312" w:hAnsi="仿宋_GB2312" w:eastAsia="仿宋_GB2312" w:cs="仿宋_GB2312"/>
          <w:color w:val="auto"/>
          <w:kern w:val="2"/>
          <w:sz w:val="32"/>
          <w:szCs w:val="32"/>
          <w:highlight w:val="none"/>
          <w:lang w:val="en-US" w:eastAsia="zh-CN"/>
        </w:rPr>
        <w:t>5亿元，年度投资增加</w:t>
      </w:r>
      <w:r>
        <w:rPr>
          <w:rFonts w:hint="default" w:ascii="仿宋_GB2312" w:hAnsi="仿宋_GB2312" w:eastAsia="仿宋_GB2312" w:cs="仿宋_GB2312"/>
          <w:color w:val="auto"/>
          <w:kern w:val="2"/>
          <w:sz w:val="32"/>
          <w:szCs w:val="32"/>
          <w:highlight w:val="none"/>
          <w:lang w:val="en-US" w:eastAsia="zh-CN"/>
        </w:rPr>
        <w:t>14</w:t>
      </w:r>
      <w:r>
        <w:rPr>
          <w:rFonts w:hint="eastAsia" w:ascii="仿宋_GB2312" w:hAnsi="仿宋_GB2312" w:eastAsia="仿宋_GB2312" w:cs="仿宋_GB2312"/>
          <w:color w:val="auto"/>
          <w:kern w:val="2"/>
          <w:sz w:val="32"/>
          <w:szCs w:val="32"/>
          <w:highlight w:val="none"/>
          <w:lang w:val="en-US" w:eastAsia="zh-CN"/>
        </w:rPr>
        <w:t>.</w:t>
      </w:r>
      <w:r>
        <w:rPr>
          <w:rFonts w:hint="default" w:ascii="仿宋_GB2312" w:hAnsi="仿宋_GB2312" w:eastAsia="仿宋_GB2312" w:cs="仿宋_GB2312"/>
          <w:color w:val="auto"/>
          <w:kern w:val="2"/>
          <w:sz w:val="32"/>
          <w:szCs w:val="32"/>
          <w:highlight w:val="none"/>
          <w:lang w:val="en-US" w:eastAsia="zh-CN"/>
        </w:rPr>
        <w:t>73</w:t>
      </w:r>
      <w:r>
        <w:rPr>
          <w:rFonts w:hint="eastAsia" w:ascii="仿宋_GB2312" w:hAnsi="仿宋_GB2312" w:eastAsia="仿宋_GB2312" w:cs="仿宋_GB2312"/>
          <w:color w:val="auto"/>
          <w:kern w:val="2"/>
          <w:sz w:val="32"/>
          <w:szCs w:val="32"/>
          <w:highlight w:val="none"/>
          <w:lang w:val="en-US" w:eastAsia="zh-CN"/>
        </w:rPr>
        <w:t>亿元</w:t>
      </w:r>
      <w:r>
        <w:rPr>
          <w:rFonts w:hint="eastAsia" w:ascii="Times New Roman" w:hAnsi="Times New Roman" w:eastAsia="仿宋_GB2312" w:cs="Times New Roman"/>
          <w:color w:val="auto"/>
          <w:kern w:val="2"/>
          <w:sz w:val="32"/>
          <w:szCs w:val="22"/>
          <w:highlight w:val="none"/>
          <w:lang w:val="en-US" w:eastAsia="zh-CN" w:bidi="ar"/>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kern w:val="2"/>
          <w:sz w:val="32"/>
          <w:szCs w:val="22"/>
          <w:highlight w:val="none"/>
          <w:lang w:val="en-US" w:eastAsia="zh-CN"/>
        </w:rPr>
      </w:pPr>
      <w:r>
        <w:rPr>
          <w:rFonts w:hint="eastAsia" w:ascii="黑体" w:hAnsi="黑体" w:eastAsia="黑体" w:cs="黑体"/>
          <w:color w:val="auto"/>
          <w:kern w:val="2"/>
          <w:sz w:val="32"/>
          <w:szCs w:val="22"/>
          <w:highlight w:val="none"/>
          <w:lang w:val="en-US" w:eastAsia="zh-CN"/>
        </w:rPr>
        <w:t>计划实施保障措施</w:t>
      </w:r>
    </w:p>
    <w:p>
      <w:pPr>
        <w:pStyle w:val="8"/>
        <w:keepNext w:val="0"/>
        <w:keepLines w:val="0"/>
        <w:pageBreakBefore w:val="0"/>
        <w:widowControl w:val="0"/>
        <w:kinsoku/>
        <w:wordWrap/>
        <w:overflowPunct/>
        <w:topLinePunct w:val="0"/>
        <w:autoSpaceDE/>
        <w:bidi w:val="0"/>
        <w:adjustRightInd/>
        <w:snapToGrid/>
        <w:spacing w:before="0" w:after="0" w:line="560" w:lineRule="exact"/>
        <w:ind w:left="0" w:right="0" w:firstLine="640" w:firstLineChars="200"/>
        <w:jc w:val="both"/>
        <w:textAlignment w:val="auto"/>
        <w:outlineLvl w:val="9"/>
        <w:rPr>
          <w:rFonts w:hint="eastAsia" w:ascii="仿宋_GB2312"/>
          <w:szCs w:val="32"/>
          <w:highlight w:val="none"/>
        </w:rPr>
      </w:pPr>
      <w:r>
        <w:rPr>
          <w:rFonts w:hint="eastAsia" w:ascii="楷体_GB2312" w:hAnsi="楷体_GB2312" w:eastAsia="楷体_GB2312" w:cs="楷体_GB2312"/>
          <w:szCs w:val="32"/>
          <w:highlight w:val="none"/>
          <w:lang w:eastAsia="zh-CN"/>
        </w:rPr>
        <w:t>（一）</w:t>
      </w:r>
      <w:r>
        <w:rPr>
          <w:rFonts w:hint="eastAsia" w:ascii="楷体_GB2312" w:hAnsi="楷体_GB2312" w:eastAsia="楷体_GB2312" w:cs="楷体_GB2312"/>
          <w:szCs w:val="32"/>
          <w:highlight w:val="none"/>
        </w:rPr>
        <w:t>建立</w:t>
      </w:r>
      <w:r>
        <w:rPr>
          <w:rFonts w:hint="eastAsia" w:ascii="楷体_GB2312" w:hAnsi="楷体_GB2312" w:eastAsia="楷体_GB2312" w:cs="楷体_GB2312"/>
          <w:szCs w:val="32"/>
          <w:highlight w:val="none"/>
          <w:lang w:eastAsia="zh-CN"/>
        </w:rPr>
        <w:t>四套</w:t>
      </w:r>
      <w:r>
        <w:rPr>
          <w:rFonts w:hint="eastAsia" w:ascii="楷体_GB2312" w:hAnsi="楷体_GB2312" w:eastAsia="楷体_GB2312" w:cs="楷体_GB2312"/>
          <w:szCs w:val="32"/>
          <w:highlight w:val="none"/>
        </w:rPr>
        <w:t>班子领导重点督导、分工负责、联系协调重点建设项目制度。</w:t>
      </w:r>
      <w:r>
        <w:rPr>
          <w:rFonts w:hint="eastAsia" w:ascii="仿宋_GB2312"/>
          <w:szCs w:val="32"/>
          <w:highlight w:val="none"/>
        </w:rPr>
        <w:t>按照</w:t>
      </w:r>
      <w:r>
        <w:rPr>
          <w:rFonts w:hint="eastAsia" w:ascii="仿宋_GB2312"/>
          <w:szCs w:val="32"/>
          <w:highlight w:val="none"/>
          <w:lang w:eastAsia="zh-CN"/>
        </w:rPr>
        <w:t>区四套班子</w:t>
      </w:r>
      <w:r>
        <w:rPr>
          <w:rFonts w:hint="eastAsia" w:ascii="仿宋_GB2312"/>
          <w:szCs w:val="32"/>
          <w:highlight w:val="none"/>
        </w:rPr>
        <w:t>领导工作分工</w:t>
      </w:r>
      <w:r>
        <w:rPr>
          <w:rFonts w:hint="eastAsia" w:ascii="仿宋_GB2312"/>
          <w:szCs w:val="32"/>
          <w:highlight w:val="none"/>
          <w:lang w:eastAsia="zh-CN"/>
        </w:rPr>
        <w:t>、</w:t>
      </w:r>
      <w:r>
        <w:rPr>
          <w:rFonts w:hint="eastAsia" w:ascii="仿宋_GB2312"/>
          <w:szCs w:val="32"/>
          <w:highlight w:val="none"/>
          <w:lang w:val="en-US" w:eastAsia="zh-CN"/>
        </w:rPr>
        <w:t>联系街镇等原则</w:t>
      </w:r>
      <w:r>
        <w:rPr>
          <w:rFonts w:hint="eastAsia" w:ascii="仿宋_GB2312"/>
          <w:szCs w:val="32"/>
          <w:highlight w:val="none"/>
        </w:rPr>
        <w:t>，</w:t>
      </w:r>
      <w:r>
        <w:rPr>
          <w:rFonts w:hint="eastAsia" w:ascii="仿宋_GB2312"/>
          <w:szCs w:val="32"/>
          <w:highlight w:val="none"/>
          <w:lang w:val="en-US" w:eastAsia="zh-CN"/>
        </w:rPr>
        <w:t>对全区列入年度计划的区重点建设项目进行</w:t>
      </w:r>
      <w:r>
        <w:rPr>
          <w:rFonts w:hint="eastAsia" w:ascii="仿宋_GB2312"/>
          <w:szCs w:val="32"/>
          <w:highlight w:val="none"/>
        </w:rPr>
        <w:t>联系协调；</w:t>
      </w:r>
      <w:r>
        <w:rPr>
          <w:rFonts w:hint="eastAsia" w:ascii="仿宋_GB2312"/>
          <w:szCs w:val="32"/>
          <w:highlight w:val="none"/>
          <w:lang w:val="en-US" w:eastAsia="zh-CN"/>
        </w:rPr>
        <w:t>对前期预备项目进行</w:t>
      </w:r>
      <w:r>
        <w:rPr>
          <w:rFonts w:hint="eastAsia" w:ascii="仿宋_GB2312"/>
          <w:szCs w:val="32"/>
          <w:highlight w:val="none"/>
        </w:rPr>
        <w:t>跟踪联系。</w:t>
      </w:r>
      <w:r>
        <w:rPr>
          <w:rFonts w:hint="eastAsia" w:ascii="仿宋_GB2312"/>
          <w:szCs w:val="32"/>
          <w:highlight w:val="none"/>
          <w:lang w:val="en-US" w:eastAsia="zh-CN"/>
        </w:rPr>
        <w:t>区四套班子</w:t>
      </w:r>
      <w:r>
        <w:rPr>
          <w:rFonts w:hint="eastAsia" w:ascii="仿宋_GB2312"/>
          <w:szCs w:val="32"/>
          <w:highlight w:val="none"/>
        </w:rPr>
        <w:t>领导实地督导协调项目，及时解决突出问题。</w:t>
      </w:r>
    </w:p>
    <w:p>
      <w:pPr>
        <w:pStyle w:val="8"/>
        <w:keepNext w:val="0"/>
        <w:keepLines w:val="0"/>
        <w:pageBreakBefore w:val="0"/>
        <w:widowControl w:val="0"/>
        <w:kinsoku/>
        <w:wordWrap/>
        <w:overflowPunct/>
        <w:topLinePunct w:val="0"/>
        <w:autoSpaceDE/>
        <w:bidi w:val="0"/>
        <w:adjustRightInd/>
        <w:snapToGrid/>
        <w:spacing w:before="0" w:after="0" w:line="560" w:lineRule="exact"/>
        <w:ind w:left="0" w:right="0" w:firstLine="640" w:firstLineChars="200"/>
        <w:jc w:val="both"/>
        <w:textAlignment w:val="auto"/>
        <w:outlineLvl w:val="9"/>
        <w:rPr>
          <w:rFonts w:hint="eastAsia" w:ascii="仿宋_GB2312"/>
          <w:szCs w:val="32"/>
          <w:highlight w:val="none"/>
        </w:rPr>
      </w:pPr>
      <w:r>
        <w:rPr>
          <w:rFonts w:hint="eastAsia" w:ascii="楷体_GB2312" w:hAnsi="楷体_GB2312" w:eastAsia="楷体_GB2312" w:cs="楷体_GB2312"/>
          <w:szCs w:val="32"/>
          <w:highlight w:val="none"/>
          <w:lang w:eastAsia="zh-CN"/>
        </w:rPr>
        <w:t>（二）</w:t>
      </w:r>
      <w:r>
        <w:rPr>
          <w:rFonts w:hint="eastAsia" w:ascii="楷体_GB2312" w:hAnsi="楷体_GB2312" w:eastAsia="楷体_GB2312" w:cs="楷体_GB2312"/>
          <w:szCs w:val="32"/>
          <w:highlight w:val="none"/>
        </w:rPr>
        <w:t>建立重点建设项目联席会议制度。</w:t>
      </w:r>
      <w:r>
        <w:rPr>
          <w:rFonts w:hint="eastAsia" w:ascii="仿宋_GB2312"/>
          <w:szCs w:val="32"/>
          <w:highlight w:val="none"/>
        </w:rPr>
        <w:t>联席会议成员由</w:t>
      </w:r>
      <w:r>
        <w:rPr>
          <w:rFonts w:hint="eastAsia" w:ascii="仿宋_GB2312"/>
          <w:color w:val="000000"/>
          <w:szCs w:val="32"/>
          <w:highlight w:val="none"/>
        </w:rPr>
        <w:t>各</w:t>
      </w:r>
      <w:r>
        <w:rPr>
          <w:rFonts w:hint="eastAsia" w:ascii="仿宋_GB2312"/>
          <w:color w:val="000000"/>
          <w:szCs w:val="32"/>
          <w:highlight w:val="none"/>
          <w:lang w:val="en-US" w:eastAsia="zh-CN"/>
        </w:rPr>
        <w:t>镇人民政府、街道办事处以及区直有关单位</w:t>
      </w:r>
      <w:r>
        <w:rPr>
          <w:rFonts w:hint="eastAsia" w:ascii="仿宋_GB2312"/>
          <w:szCs w:val="32"/>
          <w:highlight w:val="none"/>
        </w:rPr>
        <w:t>组成，由</w:t>
      </w:r>
      <w:r>
        <w:rPr>
          <w:rFonts w:hint="eastAsia" w:ascii="仿宋_GB2312"/>
          <w:szCs w:val="32"/>
          <w:highlight w:val="none"/>
          <w:lang w:val="en-US" w:eastAsia="zh-CN"/>
        </w:rPr>
        <w:t>区</w:t>
      </w:r>
      <w:r>
        <w:rPr>
          <w:rFonts w:hint="eastAsia" w:ascii="仿宋_GB2312"/>
          <w:szCs w:val="32"/>
          <w:highlight w:val="none"/>
        </w:rPr>
        <w:t>政府召集，</w:t>
      </w:r>
      <w:r>
        <w:rPr>
          <w:rFonts w:hint="eastAsia" w:ascii="仿宋_GB2312"/>
          <w:szCs w:val="32"/>
          <w:highlight w:val="none"/>
          <w:lang w:val="en-US" w:eastAsia="zh-CN"/>
        </w:rPr>
        <w:t>区</w:t>
      </w:r>
      <w:r>
        <w:rPr>
          <w:rFonts w:hint="eastAsia" w:ascii="仿宋_GB2312"/>
          <w:szCs w:val="32"/>
          <w:highlight w:val="none"/>
        </w:rPr>
        <w:t>政府分管发展改革工作的</w:t>
      </w:r>
      <w:r>
        <w:rPr>
          <w:rFonts w:hint="eastAsia" w:ascii="仿宋_GB2312"/>
          <w:szCs w:val="32"/>
          <w:highlight w:val="none"/>
          <w:lang w:val="en-US" w:eastAsia="zh-CN"/>
        </w:rPr>
        <w:t>领导</w:t>
      </w:r>
      <w:r>
        <w:rPr>
          <w:rFonts w:hint="eastAsia" w:ascii="仿宋_GB2312"/>
          <w:szCs w:val="32"/>
          <w:highlight w:val="none"/>
        </w:rPr>
        <w:t>任第一召集人，</w:t>
      </w:r>
      <w:r>
        <w:rPr>
          <w:rFonts w:hint="eastAsia" w:ascii="仿宋_GB2312"/>
          <w:szCs w:val="32"/>
          <w:highlight w:val="none"/>
          <w:lang w:val="en-US" w:eastAsia="zh-CN"/>
        </w:rPr>
        <w:t>区</w:t>
      </w:r>
      <w:r>
        <w:rPr>
          <w:rFonts w:hint="eastAsia" w:ascii="仿宋_GB2312"/>
          <w:szCs w:val="32"/>
          <w:highlight w:val="none"/>
        </w:rPr>
        <w:t>发展改革局</w:t>
      </w:r>
      <w:r>
        <w:rPr>
          <w:rFonts w:hint="eastAsia" w:ascii="仿宋_GB2312"/>
          <w:szCs w:val="32"/>
          <w:highlight w:val="none"/>
          <w:lang w:val="en-US" w:eastAsia="zh-CN"/>
        </w:rPr>
        <w:t>主要</w:t>
      </w:r>
      <w:r>
        <w:rPr>
          <w:rFonts w:hint="eastAsia" w:ascii="仿宋_GB2312"/>
          <w:szCs w:val="32"/>
          <w:highlight w:val="none"/>
        </w:rPr>
        <w:t>负责人任召集人。主要任务是通报</w:t>
      </w:r>
      <w:r>
        <w:rPr>
          <w:rFonts w:hint="eastAsia" w:ascii="仿宋_GB2312"/>
          <w:szCs w:val="32"/>
          <w:highlight w:val="none"/>
          <w:lang w:val="en-US" w:eastAsia="zh-CN"/>
        </w:rPr>
        <w:t>区</w:t>
      </w:r>
      <w:r>
        <w:rPr>
          <w:rFonts w:hint="eastAsia" w:ascii="仿宋_GB2312"/>
          <w:szCs w:val="32"/>
          <w:highlight w:val="none"/>
        </w:rPr>
        <w:t>重点建设项目进展情况，协调解决重点建设项目推进过程中存在的问题，确保</w:t>
      </w:r>
      <w:r>
        <w:rPr>
          <w:rFonts w:hint="eastAsia" w:ascii="仿宋_GB2312"/>
          <w:szCs w:val="32"/>
          <w:highlight w:val="none"/>
          <w:lang w:val="en-US" w:eastAsia="zh-CN"/>
        </w:rPr>
        <w:t>区</w:t>
      </w:r>
      <w:r>
        <w:rPr>
          <w:rFonts w:hint="eastAsia" w:ascii="仿宋_GB2312"/>
          <w:szCs w:val="32"/>
          <w:highlight w:val="none"/>
        </w:rPr>
        <w:t>重点建设项目顺利推进。</w:t>
      </w:r>
      <w:r>
        <w:rPr>
          <w:rFonts w:hint="eastAsia" w:ascii="仿宋_GB2312"/>
          <w:szCs w:val="32"/>
          <w:highlight w:val="none"/>
          <w:lang w:val="en-US" w:eastAsia="zh-CN"/>
        </w:rPr>
        <w:t>适时召开联席会议</w:t>
      </w:r>
      <w:r>
        <w:rPr>
          <w:rFonts w:hint="eastAsia" w:ascii="仿宋_GB2312"/>
          <w:szCs w:val="32"/>
          <w:highlight w:val="none"/>
        </w:rPr>
        <w:t>，分类研究、协调、解决推进过程中遇到的困难。</w:t>
      </w:r>
    </w:p>
    <w:p>
      <w:pPr>
        <w:pStyle w:val="8"/>
        <w:keepNext w:val="0"/>
        <w:keepLines w:val="0"/>
        <w:pageBreakBefore w:val="0"/>
        <w:widowControl w:val="0"/>
        <w:kinsoku/>
        <w:wordWrap/>
        <w:overflowPunct/>
        <w:topLinePunct w:val="0"/>
        <w:autoSpaceDE/>
        <w:bidi w:val="0"/>
        <w:adjustRightInd/>
        <w:snapToGrid/>
        <w:spacing w:before="0" w:after="0" w:line="560" w:lineRule="exact"/>
        <w:ind w:left="0" w:right="0" w:firstLine="640" w:firstLineChars="200"/>
        <w:jc w:val="both"/>
        <w:textAlignment w:val="auto"/>
        <w:outlineLvl w:val="9"/>
        <w:rPr>
          <w:rFonts w:hint="eastAsia" w:ascii="仿宋_GB2312"/>
          <w:szCs w:val="32"/>
          <w:highlight w:val="none"/>
        </w:rPr>
      </w:pPr>
      <w:r>
        <w:rPr>
          <w:rFonts w:hint="eastAsia" w:ascii="楷体_GB2312" w:hAnsi="楷体_GB2312" w:eastAsia="楷体_GB2312" w:cs="楷体_GB2312"/>
          <w:szCs w:val="32"/>
          <w:highlight w:val="none"/>
          <w:lang w:eastAsia="zh-CN"/>
        </w:rPr>
        <w:t>（三）</w:t>
      </w:r>
      <w:r>
        <w:rPr>
          <w:rFonts w:hint="eastAsia" w:ascii="楷体_GB2312" w:hAnsi="楷体_GB2312" w:eastAsia="楷体_GB2312" w:cs="楷体_GB2312"/>
          <w:szCs w:val="32"/>
          <w:highlight w:val="none"/>
        </w:rPr>
        <w:t>建立重点建设项目联系人及报送、统计制度。</w:t>
      </w:r>
      <w:r>
        <w:rPr>
          <w:rFonts w:hint="eastAsia" w:ascii="仿宋_GB2312"/>
          <w:color w:val="000000"/>
          <w:szCs w:val="32"/>
          <w:highlight w:val="none"/>
        </w:rPr>
        <w:t>各</w:t>
      </w:r>
      <w:r>
        <w:rPr>
          <w:rFonts w:hint="eastAsia" w:ascii="仿宋_GB2312"/>
          <w:color w:val="000000"/>
          <w:szCs w:val="32"/>
          <w:highlight w:val="none"/>
          <w:lang w:val="en-US" w:eastAsia="zh-CN"/>
        </w:rPr>
        <w:t>镇人民政府、街道办事处、区直项目牵头部门以及前期工作有关单位</w:t>
      </w:r>
      <w:r>
        <w:rPr>
          <w:rFonts w:hint="eastAsia" w:ascii="仿宋_GB2312"/>
          <w:szCs w:val="32"/>
          <w:highlight w:val="none"/>
        </w:rPr>
        <w:t>要确定联系领导和联络员（统计员）</w:t>
      </w:r>
      <w:r>
        <w:rPr>
          <w:rFonts w:hint="eastAsia" w:ascii="仿宋_GB2312"/>
          <w:szCs w:val="32"/>
          <w:highlight w:val="none"/>
          <w:lang w:val="en-US" w:eastAsia="zh-CN"/>
        </w:rPr>
        <w:t>各一名</w:t>
      </w:r>
      <w:r>
        <w:rPr>
          <w:rFonts w:hint="eastAsia" w:ascii="仿宋_GB2312"/>
          <w:szCs w:val="32"/>
          <w:highlight w:val="none"/>
        </w:rPr>
        <w:t>，负责与</w:t>
      </w:r>
      <w:r>
        <w:rPr>
          <w:rFonts w:hint="eastAsia" w:ascii="仿宋_GB2312"/>
          <w:szCs w:val="32"/>
          <w:highlight w:val="none"/>
          <w:lang w:val="en-US" w:eastAsia="zh-CN"/>
        </w:rPr>
        <w:t>区</w:t>
      </w:r>
      <w:r>
        <w:rPr>
          <w:rFonts w:hint="eastAsia" w:ascii="仿宋_GB2312"/>
          <w:szCs w:val="32"/>
          <w:highlight w:val="none"/>
        </w:rPr>
        <w:t>重点项目办联系，及时</w:t>
      </w:r>
      <w:r>
        <w:rPr>
          <w:rFonts w:hint="eastAsia" w:ascii="仿宋_GB2312"/>
          <w:szCs w:val="32"/>
          <w:highlight w:val="none"/>
          <w:lang w:val="en-US" w:eastAsia="zh-CN"/>
        </w:rPr>
        <w:t>汇报</w:t>
      </w:r>
      <w:r>
        <w:rPr>
          <w:rFonts w:hint="eastAsia" w:ascii="仿宋_GB2312"/>
          <w:szCs w:val="32"/>
          <w:highlight w:val="none"/>
        </w:rPr>
        <w:t>沟通项目建设情况。</w:t>
      </w:r>
      <w:r>
        <w:rPr>
          <w:rFonts w:hint="eastAsia" w:ascii="仿宋_GB2312"/>
          <w:szCs w:val="32"/>
          <w:highlight w:val="none"/>
          <w:lang w:val="en-US" w:eastAsia="zh-CN"/>
        </w:rPr>
        <w:t>区</w:t>
      </w:r>
      <w:r>
        <w:rPr>
          <w:rFonts w:hint="eastAsia" w:ascii="仿宋_GB2312"/>
          <w:szCs w:val="32"/>
          <w:highlight w:val="none"/>
        </w:rPr>
        <w:t>重点建设项目实行月报、季报和年报制度，</w:t>
      </w:r>
      <w:r>
        <w:rPr>
          <w:rFonts w:hint="eastAsia" w:ascii="仿宋_GB2312"/>
          <w:color w:val="000000"/>
          <w:szCs w:val="32"/>
          <w:highlight w:val="none"/>
        </w:rPr>
        <w:t>各</w:t>
      </w:r>
      <w:r>
        <w:rPr>
          <w:rFonts w:hint="eastAsia" w:ascii="仿宋_GB2312"/>
          <w:color w:val="000000"/>
          <w:szCs w:val="32"/>
          <w:highlight w:val="none"/>
          <w:lang w:val="en-US" w:eastAsia="zh-CN"/>
        </w:rPr>
        <w:t>镇人民政府、街道办事处及区直项目牵头部门</w:t>
      </w:r>
      <w:r>
        <w:rPr>
          <w:rFonts w:hint="eastAsia" w:ascii="仿宋_GB2312"/>
          <w:szCs w:val="32"/>
          <w:highlight w:val="none"/>
        </w:rPr>
        <w:t>为</w:t>
      </w:r>
      <w:r>
        <w:rPr>
          <w:rFonts w:hint="eastAsia" w:ascii="仿宋_GB2312"/>
          <w:szCs w:val="32"/>
          <w:highlight w:val="none"/>
          <w:lang w:val="en-US" w:eastAsia="zh-CN"/>
        </w:rPr>
        <w:t>区</w:t>
      </w:r>
      <w:r>
        <w:rPr>
          <w:rFonts w:hint="eastAsia" w:ascii="仿宋_GB2312"/>
          <w:szCs w:val="32"/>
          <w:highlight w:val="none"/>
        </w:rPr>
        <w:t>重点建设项目进度报送责任单位。</w:t>
      </w:r>
    </w:p>
    <w:p>
      <w:pPr>
        <w:pStyle w:val="8"/>
        <w:keepNext w:val="0"/>
        <w:keepLines w:val="0"/>
        <w:pageBreakBefore w:val="0"/>
        <w:widowControl w:val="0"/>
        <w:kinsoku/>
        <w:wordWrap/>
        <w:overflowPunct/>
        <w:topLinePunct w:val="0"/>
        <w:autoSpaceDE/>
        <w:bidi w:val="0"/>
        <w:adjustRightInd/>
        <w:snapToGrid/>
        <w:spacing w:before="0" w:after="0" w:line="560" w:lineRule="exact"/>
        <w:ind w:left="0" w:right="0" w:firstLine="640" w:firstLineChars="200"/>
        <w:jc w:val="both"/>
        <w:textAlignment w:val="auto"/>
        <w:outlineLvl w:val="9"/>
        <w:rPr>
          <w:rFonts w:hint="eastAsia" w:ascii="仿宋_GB2312"/>
          <w:szCs w:val="32"/>
          <w:highlight w:val="none"/>
        </w:rPr>
      </w:pPr>
      <w:r>
        <w:rPr>
          <w:rFonts w:hint="eastAsia" w:ascii="楷体_GB2312" w:hAnsi="楷体_GB2312" w:eastAsia="楷体_GB2312" w:cs="楷体_GB2312"/>
          <w:szCs w:val="32"/>
          <w:highlight w:val="none"/>
          <w:lang w:eastAsia="zh-CN"/>
        </w:rPr>
        <w:t>（四）</w:t>
      </w:r>
      <w:r>
        <w:rPr>
          <w:rFonts w:hint="eastAsia" w:ascii="楷体_GB2312" w:hAnsi="楷体_GB2312" w:eastAsia="楷体_GB2312" w:cs="楷体_GB2312"/>
          <w:szCs w:val="32"/>
          <w:highlight w:val="none"/>
        </w:rPr>
        <w:t>建立</w:t>
      </w:r>
      <w:r>
        <w:rPr>
          <w:rFonts w:hint="eastAsia" w:ascii="楷体_GB2312" w:hAnsi="楷体_GB2312" w:eastAsia="楷体_GB2312" w:cs="楷体_GB2312"/>
          <w:szCs w:val="32"/>
          <w:highlight w:val="none"/>
          <w:lang w:val="en-US" w:eastAsia="zh-CN"/>
        </w:rPr>
        <w:t>区</w:t>
      </w:r>
      <w:r>
        <w:rPr>
          <w:rFonts w:hint="eastAsia" w:ascii="楷体_GB2312" w:hAnsi="楷体_GB2312" w:eastAsia="楷体_GB2312" w:cs="楷体_GB2312"/>
          <w:szCs w:val="32"/>
          <w:highlight w:val="none"/>
        </w:rPr>
        <w:t>重点建设项目督查制度。</w:t>
      </w:r>
      <w:r>
        <w:rPr>
          <w:rFonts w:hint="eastAsia" w:ascii="仿宋_GB2312"/>
          <w:szCs w:val="32"/>
          <w:highlight w:val="none"/>
        </w:rPr>
        <w:t>由</w:t>
      </w:r>
      <w:r>
        <w:rPr>
          <w:rFonts w:hint="eastAsia" w:ascii="仿宋_GB2312"/>
          <w:szCs w:val="32"/>
          <w:highlight w:val="none"/>
          <w:lang w:val="en-US" w:eastAsia="zh-CN"/>
        </w:rPr>
        <w:t>区委督查办联合区</w:t>
      </w:r>
      <w:r>
        <w:rPr>
          <w:rFonts w:hint="eastAsia" w:ascii="仿宋_GB2312"/>
          <w:szCs w:val="32"/>
          <w:highlight w:val="none"/>
        </w:rPr>
        <w:t>重点项目办定期</w:t>
      </w:r>
      <w:r>
        <w:rPr>
          <w:rFonts w:hint="eastAsia" w:ascii="仿宋_GB2312"/>
          <w:szCs w:val="32"/>
          <w:highlight w:val="none"/>
          <w:lang w:val="en-US" w:eastAsia="zh-CN"/>
        </w:rPr>
        <w:t>或不定期</w:t>
      </w:r>
      <w:r>
        <w:rPr>
          <w:rFonts w:hint="eastAsia" w:ascii="仿宋_GB2312"/>
          <w:szCs w:val="32"/>
          <w:highlight w:val="none"/>
        </w:rPr>
        <w:t>对重点建设项目进行督查，</w:t>
      </w:r>
      <w:r>
        <w:rPr>
          <w:rFonts w:hint="eastAsia" w:ascii="仿宋_GB2312"/>
          <w:szCs w:val="32"/>
          <w:highlight w:val="none"/>
          <w:lang w:val="en-US" w:eastAsia="zh-CN"/>
        </w:rPr>
        <w:t>督查内容包括项目推进情况、存在问题、解决措施以及信息统计、报送情况，</w:t>
      </w:r>
      <w:r>
        <w:rPr>
          <w:rFonts w:hint="eastAsia" w:ascii="仿宋_GB2312"/>
          <w:szCs w:val="32"/>
          <w:highlight w:val="none"/>
        </w:rPr>
        <w:t>集中了解项目建设动态，查找问题，形成解决建议措施，报领导小组审定后实施。</w:t>
      </w:r>
    </w:p>
    <w:p>
      <w:pPr>
        <w:pStyle w:val="8"/>
        <w:keepNext w:val="0"/>
        <w:keepLines w:val="0"/>
        <w:pageBreakBefore w:val="0"/>
        <w:widowControl w:val="0"/>
        <w:kinsoku/>
        <w:wordWrap/>
        <w:overflowPunct/>
        <w:topLinePunct w:val="0"/>
        <w:autoSpaceDE/>
        <w:bidi w:val="0"/>
        <w:adjustRightInd/>
        <w:snapToGrid/>
        <w:spacing w:before="0" w:after="0" w:line="560" w:lineRule="exact"/>
        <w:ind w:left="0" w:right="0" w:firstLine="640" w:firstLineChars="200"/>
        <w:jc w:val="both"/>
        <w:textAlignment w:val="auto"/>
        <w:outlineLvl w:val="9"/>
        <w:rPr>
          <w:rFonts w:hint="eastAsia" w:ascii="仿宋_GB2312"/>
          <w:szCs w:val="32"/>
          <w:highlight w:val="none"/>
        </w:rPr>
      </w:pPr>
      <w:r>
        <w:rPr>
          <w:rFonts w:hint="eastAsia" w:ascii="楷体_GB2312" w:hAnsi="楷体_GB2312" w:eastAsia="楷体_GB2312" w:cs="楷体_GB2312"/>
          <w:szCs w:val="32"/>
          <w:highlight w:val="none"/>
          <w:lang w:eastAsia="zh-CN"/>
        </w:rPr>
        <w:t>（五）</w:t>
      </w:r>
      <w:r>
        <w:rPr>
          <w:rFonts w:hint="eastAsia" w:ascii="楷体_GB2312" w:hAnsi="楷体_GB2312" w:eastAsia="楷体_GB2312" w:cs="楷体_GB2312"/>
          <w:szCs w:val="32"/>
          <w:highlight w:val="none"/>
        </w:rPr>
        <w:t>建立</w:t>
      </w:r>
      <w:r>
        <w:rPr>
          <w:rFonts w:hint="eastAsia" w:ascii="楷体_GB2312" w:hAnsi="楷体_GB2312" w:eastAsia="楷体_GB2312" w:cs="楷体_GB2312"/>
          <w:szCs w:val="32"/>
          <w:highlight w:val="none"/>
          <w:lang w:val="en-US" w:eastAsia="zh-CN"/>
        </w:rPr>
        <w:t>区</w:t>
      </w:r>
      <w:r>
        <w:rPr>
          <w:rFonts w:hint="eastAsia" w:ascii="楷体_GB2312" w:hAnsi="楷体_GB2312" w:eastAsia="楷体_GB2312" w:cs="楷体_GB2312"/>
          <w:szCs w:val="32"/>
          <w:highlight w:val="none"/>
        </w:rPr>
        <w:t>重点建设项目储备库制度。</w:t>
      </w:r>
      <w:r>
        <w:rPr>
          <w:rFonts w:hint="eastAsia" w:ascii="仿宋_GB2312"/>
          <w:color w:val="000000"/>
          <w:szCs w:val="32"/>
          <w:highlight w:val="none"/>
        </w:rPr>
        <w:t>各</w:t>
      </w:r>
      <w:r>
        <w:rPr>
          <w:rFonts w:hint="eastAsia" w:ascii="仿宋_GB2312"/>
          <w:color w:val="000000"/>
          <w:szCs w:val="32"/>
          <w:highlight w:val="none"/>
          <w:lang w:val="en-US" w:eastAsia="zh-CN"/>
        </w:rPr>
        <w:t>镇人民政府、街道办事处、区直部门</w:t>
      </w:r>
      <w:r>
        <w:rPr>
          <w:rFonts w:hint="eastAsia" w:ascii="仿宋_GB2312"/>
          <w:szCs w:val="32"/>
          <w:highlight w:val="none"/>
        </w:rPr>
        <w:t>要按照重点建设项目储备库</w:t>
      </w:r>
      <w:r>
        <w:rPr>
          <w:rFonts w:hint="eastAsia" w:ascii="仿宋_GB2312"/>
          <w:szCs w:val="32"/>
          <w:highlight w:val="none"/>
          <w:lang w:eastAsia="zh-CN"/>
        </w:rPr>
        <w:t>有关要求，</w:t>
      </w:r>
      <w:r>
        <w:rPr>
          <w:rFonts w:hint="eastAsia" w:ascii="仿宋_GB2312"/>
          <w:szCs w:val="32"/>
          <w:highlight w:val="none"/>
        </w:rPr>
        <w:t>积极谋划储备项目。</w:t>
      </w:r>
    </w:p>
    <w:p>
      <w:pPr>
        <w:pStyle w:val="8"/>
        <w:keepNext w:val="0"/>
        <w:keepLines w:val="0"/>
        <w:pageBreakBefore w:val="0"/>
        <w:widowControl w:val="0"/>
        <w:kinsoku/>
        <w:wordWrap/>
        <w:overflowPunct/>
        <w:topLinePunct w:val="0"/>
        <w:autoSpaceDE/>
        <w:bidi w:val="0"/>
        <w:adjustRightInd/>
        <w:snapToGrid/>
        <w:spacing w:before="0" w:after="0" w:line="560" w:lineRule="exact"/>
        <w:ind w:left="0" w:right="0" w:firstLine="640" w:firstLineChars="200"/>
        <w:jc w:val="both"/>
        <w:textAlignment w:val="auto"/>
        <w:outlineLvl w:val="9"/>
        <w:rPr>
          <w:rFonts w:hint="eastAsia" w:ascii="仿宋_GB2312"/>
          <w:color w:val="auto"/>
          <w:szCs w:val="32"/>
          <w:highlight w:val="none"/>
        </w:rPr>
      </w:pPr>
      <w:r>
        <w:rPr>
          <w:rFonts w:hint="eastAsia" w:ascii="楷体_GB2312" w:hAnsi="楷体_GB2312" w:eastAsia="楷体_GB2312" w:cs="楷体_GB2312"/>
          <w:szCs w:val="32"/>
          <w:highlight w:val="none"/>
          <w:lang w:eastAsia="zh-CN"/>
        </w:rPr>
        <w:t>（六）</w:t>
      </w:r>
      <w:r>
        <w:rPr>
          <w:rFonts w:hint="eastAsia" w:ascii="楷体_GB2312" w:hAnsi="楷体_GB2312" w:eastAsia="楷体_GB2312" w:cs="楷体_GB2312"/>
          <w:szCs w:val="32"/>
          <w:highlight w:val="none"/>
        </w:rPr>
        <w:t>建立重点建设项目动态管理制度。</w:t>
      </w:r>
      <w:r>
        <w:rPr>
          <w:rFonts w:hint="eastAsia" w:ascii="仿宋_GB2312"/>
          <w:szCs w:val="32"/>
          <w:highlight w:val="none"/>
          <w:lang w:val="en-US" w:eastAsia="zh-CN"/>
        </w:rPr>
        <w:t>区重点项目办</w:t>
      </w:r>
      <w:r>
        <w:rPr>
          <w:rFonts w:hint="eastAsia" w:ascii="仿宋_GB2312"/>
          <w:szCs w:val="32"/>
          <w:highlight w:val="none"/>
        </w:rPr>
        <w:t>根据项目投资计划执行情况，每年6月份提出重点建设项目计划调整方案，报</w:t>
      </w:r>
      <w:r>
        <w:rPr>
          <w:rFonts w:hint="eastAsia" w:ascii="仿宋_GB2312"/>
          <w:szCs w:val="32"/>
          <w:highlight w:val="none"/>
          <w:lang w:val="en-US" w:eastAsia="zh-CN"/>
        </w:rPr>
        <w:t>区</w:t>
      </w:r>
      <w:r>
        <w:rPr>
          <w:rFonts w:hint="eastAsia" w:ascii="仿宋_GB2312"/>
          <w:szCs w:val="32"/>
          <w:highlight w:val="none"/>
        </w:rPr>
        <w:t>政府审定后执行。</w:t>
      </w:r>
    </w:p>
    <w:p>
      <w:pPr>
        <w:pStyle w:val="8"/>
        <w:keepNext w:val="0"/>
        <w:keepLines w:val="0"/>
        <w:pageBreakBefore w:val="0"/>
        <w:widowControl w:val="0"/>
        <w:kinsoku/>
        <w:wordWrap/>
        <w:overflowPunct/>
        <w:topLinePunct w:val="0"/>
        <w:autoSpaceDE/>
        <w:autoSpaceDN/>
        <w:bidi w:val="0"/>
        <w:adjustRightInd/>
        <w:snapToGrid/>
        <w:spacing w:before="0" w:after="0" w:line="560" w:lineRule="exact"/>
        <w:ind w:left="0" w:right="0" w:firstLine="0" w:firstLineChars="0"/>
        <w:jc w:val="center"/>
        <w:textAlignment w:val="auto"/>
        <w:outlineLvl w:val="9"/>
        <w:rPr>
          <w:rFonts w:hint="eastAsia" w:ascii="方正小标宋简体" w:hAnsi="方正小标宋简体" w:eastAsia="方正小标宋简体" w:cs="方正小标宋简体"/>
          <w:color w:val="auto"/>
          <w:sz w:val="44"/>
          <w:szCs w:val="44"/>
          <w:highlight w:val="none"/>
        </w:rPr>
      </w:pPr>
    </w:p>
    <w:p>
      <w:pPr>
        <w:pStyle w:val="8"/>
        <w:keepNext w:val="0"/>
        <w:keepLines w:val="0"/>
        <w:pageBreakBefore w:val="0"/>
        <w:widowControl w:val="0"/>
        <w:kinsoku/>
        <w:wordWrap/>
        <w:overflowPunct/>
        <w:topLinePunct w:val="0"/>
        <w:autoSpaceDE/>
        <w:autoSpaceDN/>
        <w:bidi w:val="0"/>
        <w:adjustRightInd/>
        <w:snapToGrid/>
        <w:spacing w:before="0" w:after="0" w:line="560" w:lineRule="exact"/>
        <w:ind w:left="0" w:right="0" w:firstLine="0" w:firstLineChars="0"/>
        <w:jc w:val="center"/>
        <w:textAlignment w:val="auto"/>
        <w:outlineLvl w:val="9"/>
        <w:rPr>
          <w:rFonts w:hint="eastAsia" w:ascii="方正小标宋简体" w:hAnsi="方正小标宋简体" w:eastAsia="方正小标宋简体" w:cs="方正小标宋简体"/>
          <w:color w:val="auto"/>
          <w:sz w:val="44"/>
          <w:szCs w:val="44"/>
          <w:highlight w:val="none"/>
        </w:rPr>
      </w:pPr>
    </w:p>
    <w:p>
      <w:pPr>
        <w:pStyle w:val="8"/>
        <w:keepNext w:val="0"/>
        <w:keepLines w:val="0"/>
        <w:pageBreakBefore w:val="0"/>
        <w:widowControl w:val="0"/>
        <w:kinsoku/>
        <w:wordWrap/>
        <w:overflowPunct/>
        <w:topLinePunct w:val="0"/>
        <w:autoSpaceDE/>
        <w:autoSpaceDN/>
        <w:bidi w:val="0"/>
        <w:adjustRightInd/>
        <w:snapToGrid/>
        <w:spacing w:before="0" w:after="0" w:line="560" w:lineRule="exact"/>
        <w:ind w:left="0" w:right="0" w:firstLine="0" w:firstLineChars="0"/>
        <w:jc w:val="center"/>
        <w:textAlignment w:val="auto"/>
        <w:outlineLvl w:val="9"/>
        <w:rPr>
          <w:rFonts w:hint="eastAsia" w:ascii="方正小标宋简体" w:hAnsi="方正小标宋简体" w:eastAsia="方正小标宋简体" w:cs="方正小标宋简体"/>
          <w:color w:val="auto"/>
          <w:sz w:val="44"/>
          <w:szCs w:val="44"/>
          <w:highlight w:val="none"/>
        </w:rPr>
      </w:pPr>
    </w:p>
    <w:p>
      <w:pPr>
        <w:pStyle w:val="8"/>
        <w:keepNext w:val="0"/>
        <w:keepLines w:val="0"/>
        <w:pageBreakBefore w:val="0"/>
        <w:widowControl w:val="0"/>
        <w:kinsoku/>
        <w:wordWrap/>
        <w:overflowPunct/>
        <w:topLinePunct w:val="0"/>
        <w:autoSpaceDE/>
        <w:autoSpaceDN/>
        <w:bidi w:val="0"/>
        <w:adjustRightInd/>
        <w:snapToGrid/>
        <w:spacing w:before="0" w:after="0" w:line="560" w:lineRule="exact"/>
        <w:ind w:left="0" w:right="0" w:firstLine="0" w:firstLineChars="0"/>
        <w:jc w:val="center"/>
        <w:textAlignment w:val="auto"/>
        <w:outlineLvl w:val="9"/>
        <w:rPr>
          <w:rFonts w:hint="eastAsia" w:ascii="方正小标宋简体" w:hAnsi="方正小标宋简体" w:eastAsia="方正小标宋简体" w:cs="方正小标宋简体"/>
          <w:color w:val="auto"/>
          <w:sz w:val="44"/>
          <w:szCs w:val="44"/>
          <w:highlight w:val="none"/>
          <w:lang w:eastAsia="zh-CN"/>
        </w:rPr>
      </w:pPr>
      <w:r>
        <w:rPr>
          <w:rFonts w:hint="eastAsia" w:ascii="方正小标宋简体" w:hAnsi="方正小标宋简体" w:eastAsia="方正小标宋简体" w:cs="方正小标宋简体"/>
          <w:color w:val="auto"/>
          <w:sz w:val="44"/>
          <w:szCs w:val="44"/>
          <w:highlight w:val="none"/>
        </w:rPr>
        <w:t>202</w:t>
      </w:r>
      <w:r>
        <w:rPr>
          <w:rFonts w:hint="eastAsia" w:ascii="方正小标宋简体" w:hAnsi="方正小标宋简体" w:eastAsia="方正小标宋简体" w:cs="方正小标宋简体"/>
          <w:color w:val="auto"/>
          <w:sz w:val="44"/>
          <w:szCs w:val="44"/>
          <w:highlight w:val="none"/>
          <w:lang w:val="en-US" w:eastAsia="zh-CN"/>
        </w:rPr>
        <w:t>4</w:t>
      </w:r>
      <w:r>
        <w:rPr>
          <w:rFonts w:hint="eastAsia" w:ascii="方正小标宋简体" w:hAnsi="方正小标宋简体" w:eastAsia="方正小标宋简体" w:cs="方正小标宋简体"/>
          <w:color w:val="auto"/>
          <w:sz w:val="44"/>
          <w:szCs w:val="44"/>
          <w:highlight w:val="none"/>
        </w:rPr>
        <w:t>年清城区重点建设项目计划</w:t>
      </w:r>
    </w:p>
    <w:p>
      <w:pPr>
        <w:pStyle w:val="8"/>
        <w:keepNext w:val="0"/>
        <w:keepLines w:val="0"/>
        <w:pageBreakBefore w:val="0"/>
        <w:widowControl w:val="0"/>
        <w:kinsoku/>
        <w:wordWrap/>
        <w:overflowPunct/>
        <w:topLinePunct w:val="0"/>
        <w:autoSpaceDE/>
        <w:bidi w:val="0"/>
        <w:adjustRightInd/>
        <w:snapToGrid/>
        <w:spacing w:before="0" w:after="0" w:line="560" w:lineRule="exact"/>
        <w:ind w:right="0"/>
        <w:jc w:val="both"/>
        <w:textAlignment w:val="auto"/>
        <w:outlineLvl w:val="9"/>
      </w:pPr>
      <w:r>
        <w:rPr>
          <w:rFonts w:hint="eastAsia" w:ascii="仿宋_GB2312"/>
          <w:b/>
          <w:bCs/>
          <w:color w:val="auto"/>
          <w:sz w:val="24"/>
          <w:szCs w:val="24"/>
          <w:highlight w:val="none"/>
          <w:lang w:val="en-US" w:eastAsia="zh-CN"/>
        </w:rPr>
        <w:t xml:space="preserve"> </w:t>
      </w:r>
      <w:r>
        <w:rPr>
          <w:rFonts w:hint="eastAsia" w:ascii="仿宋_GB2312" w:hAnsi="仿宋_GB2312" w:eastAsia="仿宋_GB2312" w:cs="仿宋_GB2312"/>
          <w:b/>
          <w:bCs/>
          <w:i w:val="0"/>
          <w:iCs w:val="0"/>
          <w:color w:val="auto"/>
          <w:kern w:val="0"/>
          <w:sz w:val="24"/>
          <w:szCs w:val="24"/>
          <w:u w:val="none"/>
          <w:lang w:val="en-US" w:eastAsia="zh-CN" w:bidi="ar"/>
        </w:rPr>
        <w:t>▲</w:t>
      </w:r>
      <w:r>
        <w:rPr>
          <w:rFonts w:hint="eastAsia" w:ascii="仿宋_GB2312" w:hAnsi="仿宋_GB2312" w:cs="仿宋_GB2312"/>
          <w:b/>
          <w:bCs/>
          <w:i w:val="0"/>
          <w:iCs w:val="0"/>
          <w:color w:val="auto"/>
          <w:kern w:val="0"/>
          <w:sz w:val="24"/>
          <w:szCs w:val="24"/>
          <w:u w:val="none"/>
          <w:lang w:val="en-US" w:eastAsia="zh-CN" w:bidi="ar"/>
        </w:rPr>
        <w:t xml:space="preserve">省重点建设项目  </w:t>
      </w:r>
      <w:r>
        <w:rPr>
          <w:rFonts w:hint="eastAsia" w:ascii="仿宋_GB2312" w:hAnsi="仿宋_GB2312" w:eastAsia="仿宋_GB2312" w:cs="仿宋_GB2312"/>
          <w:b/>
          <w:bCs/>
          <w:i w:val="0"/>
          <w:iCs w:val="0"/>
          <w:color w:val="auto"/>
          <w:kern w:val="0"/>
          <w:sz w:val="24"/>
          <w:szCs w:val="24"/>
          <w:u w:val="none"/>
          <w:lang w:val="en-US" w:eastAsia="zh-CN" w:bidi="ar"/>
        </w:rPr>
        <w:t>△</w:t>
      </w:r>
      <w:r>
        <w:rPr>
          <w:rFonts w:hint="eastAsia" w:ascii="仿宋_GB2312" w:hAnsi="仿宋_GB2312" w:cs="仿宋_GB2312"/>
          <w:b/>
          <w:bCs/>
          <w:i w:val="0"/>
          <w:iCs w:val="0"/>
          <w:color w:val="auto"/>
          <w:kern w:val="0"/>
          <w:sz w:val="24"/>
          <w:szCs w:val="24"/>
          <w:u w:val="none"/>
          <w:lang w:val="en-US" w:eastAsia="zh-CN" w:bidi="ar"/>
        </w:rPr>
        <w:t>市重点建设项目</w:t>
      </w:r>
      <w:r>
        <w:rPr>
          <w:rFonts w:hint="eastAsia" w:ascii="仿宋_GB2312" w:hAnsi="仿宋_GB2312" w:cs="仿宋_GB2312"/>
          <w:i w:val="0"/>
          <w:iCs w:val="0"/>
          <w:color w:val="auto"/>
          <w:kern w:val="0"/>
          <w:sz w:val="21"/>
          <w:szCs w:val="21"/>
          <w:u w:val="none"/>
          <w:lang w:val="en-US" w:eastAsia="zh-CN" w:bidi="ar"/>
        </w:rPr>
        <w:t xml:space="preserve">                                                                                                                                        </w:t>
      </w:r>
      <w:r>
        <w:rPr>
          <w:rFonts w:hint="eastAsia" w:ascii="仿宋_GB2312"/>
          <w:b/>
          <w:bCs/>
          <w:color w:val="auto"/>
          <w:sz w:val="24"/>
          <w:szCs w:val="24"/>
          <w:highlight w:val="none"/>
          <w:lang w:val="en-US" w:eastAsia="zh-CN"/>
        </w:rPr>
        <w:t xml:space="preserve">  投资单位：万元</w:t>
      </w:r>
    </w:p>
    <w:tbl>
      <w:tblPr>
        <w:tblStyle w:val="5"/>
        <w:tblW w:w="21009" w:type="dxa"/>
        <w:tblInd w:w="-7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30"/>
        <w:gridCol w:w="2124"/>
        <w:gridCol w:w="6105"/>
        <w:gridCol w:w="675"/>
        <w:gridCol w:w="1440"/>
        <w:gridCol w:w="1455"/>
        <w:gridCol w:w="1425"/>
        <w:gridCol w:w="6060"/>
        <w:gridCol w:w="7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9" w:hRule="atLeast"/>
          <w:tblHeader/>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黑体" w:hAnsi="黑体" w:eastAsia="黑体" w:cs="黑体"/>
                <w:b w:val="0"/>
                <w:bCs/>
                <w:color w:val="auto"/>
                <w:sz w:val="20"/>
                <w:szCs w:val="24"/>
              </w:rPr>
            </w:pPr>
            <w:r>
              <w:rPr>
                <w:rFonts w:hint="eastAsia" w:ascii="黑体" w:hAnsi="黑体" w:eastAsia="黑体" w:cs="黑体"/>
                <w:b w:val="0"/>
                <w:bCs/>
                <w:color w:val="auto"/>
                <w:sz w:val="20"/>
                <w:szCs w:val="24"/>
              </w:rPr>
              <w:t>序号</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黑体" w:hAnsi="黑体" w:eastAsia="黑体" w:cs="黑体"/>
                <w:b w:val="0"/>
                <w:bCs/>
                <w:color w:val="auto"/>
                <w:sz w:val="20"/>
                <w:szCs w:val="24"/>
              </w:rPr>
            </w:pPr>
            <w:r>
              <w:rPr>
                <w:rFonts w:hint="eastAsia" w:ascii="黑体" w:hAnsi="黑体" w:eastAsia="黑体" w:cs="黑体"/>
                <w:b w:val="0"/>
                <w:bCs/>
                <w:color w:val="auto"/>
                <w:sz w:val="20"/>
                <w:szCs w:val="24"/>
              </w:rPr>
              <w:t>项目名称</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黑体" w:hAnsi="黑体" w:eastAsia="黑体" w:cs="黑体"/>
                <w:b w:val="0"/>
                <w:bCs/>
                <w:color w:val="auto"/>
                <w:sz w:val="20"/>
                <w:szCs w:val="24"/>
              </w:rPr>
            </w:pPr>
            <w:r>
              <w:rPr>
                <w:rFonts w:hint="eastAsia" w:ascii="黑体" w:hAnsi="黑体" w:eastAsia="黑体" w:cs="黑体"/>
                <w:b w:val="0"/>
                <w:bCs/>
                <w:color w:val="auto"/>
                <w:sz w:val="20"/>
                <w:szCs w:val="24"/>
              </w:rPr>
              <w:t>建设内容及规模</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黑体" w:hAnsi="黑体" w:eastAsia="黑体" w:cs="黑体"/>
                <w:b w:val="0"/>
                <w:bCs/>
                <w:color w:val="auto"/>
                <w:sz w:val="20"/>
                <w:szCs w:val="24"/>
              </w:rPr>
            </w:pPr>
            <w:r>
              <w:rPr>
                <w:rFonts w:hint="eastAsia" w:ascii="黑体" w:hAnsi="黑体" w:eastAsia="黑体" w:cs="黑体"/>
                <w:b w:val="0"/>
                <w:bCs/>
                <w:color w:val="auto"/>
                <w:sz w:val="20"/>
                <w:szCs w:val="24"/>
              </w:rPr>
              <w:t>建设起止年限</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黑体" w:hAnsi="黑体" w:eastAsia="黑体" w:cs="黑体"/>
                <w:b w:val="0"/>
                <w:bCs/>
                <w:color w:val="auto"/>
                <w:sz w:val="20"/>
                <w:szCs w:val="24"/>
              </w:rPr>
            </w:pPr>
            <w:r>
              <w:rPr>
                <w:rFonts w:hint="eastAsia" w:ascii="黑体" w:hAnsi="黑体" w:eastAsia="黑体" w:cs="黑体"/>
                <w:b w:val="0"/>
                <w:bCs/>
                <w:color w:val="auto"/>
                <w:sz w:val="20"/>
                <w:szCs w:val="24"/>
              </w:rPr>
              <w:t>总投资</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黑体" w:hAnsi="黑体" w:eastAsia="黑体" w:cs="黑体"/>
                <w:b w:val="0"/>
                <w:bCs/>
                <w:color w:val="auto"/>
                <w:sz w:val="20"/>
                <w:szCs w:val="24"/>
              </w:rPr>
            </w:pPr>
            <w:r>
              <w:rPr>
                <w:rFonts w:hint="eastAsia" w:ascii="黑体" w:hAnsi="黑体" w:eastAsia="黑体" w:cs="黑体"/>
                <w:b w:val="0"/>
                <w:bCs/>
                <w:color w:val="auto"/>
                <w:sz w:val="20"/>
                <w:szCs w:val="24"/>
              </w:rPr>
              <w:t>到202</w:t>
            </w:r>
            <w:r>
              <w:rPr>
                <w:rFonts w:hint="eastAsia" w:ascii="黑体" w:hAnsi="黑体" w:eastAsia="黑体" w:cs="黑体"/>
                <w:b w:val="0"/>
                <w:bCs/>
                <w:color w:val="auto"/>
                <w:sz w:val="20"/>
                <w:szCs w:val="24"/>
                <w:lang w:val="en-US" w:eastAsia="zh-CN"/>
              </w:rPr>
              <w:t>3</w:t>
            </w:r>
            <w:r>
              <w:rPr>
                <w:rFonts w:hint="eastAsia" w:ascii="黑体" w:hAnsi="黑体" w:eastAsia="黑体" w:cs="黑体"/>
                <w:b w:val="0"/>
                <w:bCs/>
                <w:color w:val="auto"/>
                <w:sz w:val="20"/>
                <w:szCs w:val="24"/>
              </w:rPr>
              <w:t>年底</w:t>
            </w:r>
          </w:p>
          <w:p>
            <w:pPr>
              <w:spacing w:beforeLines="0" w:afterLines="0"/>
              <w:jc w:val="center"/>
              <w:rPr>
                <w:rFonts w:hint="eastAsia" w:ascii="黑体" w:hAnsi="黑体" w:eastAsia="黑体" w:cs="黑体"/>
                <w:b w:val="0"/>
                <w:bCs/>
                <w:color w:val="auto"/>
                <w:sz w:val="20"/>
                <w:szCs w:val="24"/>
              </w:rPr>
            </w:pPr>
            <w:r>
              <w:rPr>
                <w:rFonts w:hint="eastAsia" w:ascii="黑体" w:hAnsi="黑体" w:eastAsia="黑体" w:cs="黑体"/>
                <w:b w:val="0"/>
                <w:bCs/>
                <w:color w:val="auto"/>
                <w:sz w:val="20"/>
                <w:szCs w:val="24"/>
              </w:rPr>
              <w:t>累计完成投资</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黑体" w:hAnsi="黑体" w:eastAsia="黑体" w:cs="黑体"/>
                <w:b w:val="0"/>
                <w:bCs/>
                <w:color w:val="auto"/>
                <w:sz w:val="20"/>
                <w:szCs w:val="24"/>
              </w:rPr>
            </w:pPr>
            <w:r>
              <w:rPr>
                <w:rFonts w:hint="eastAsia" w:ascii="黑体" w:hAnsi="黑体" w:eastAsia="黑体" w:cs="黑体"/>
                <w:b w:val="0"/>
                <w:bCs/>
                <w:color w:val="auto"/>
                <w:sz w:val="20"/>
                <w:szCs w:val="24"/>
              </w:rPr>
              <w:t>202</w:t>
            </w:r>
            <w:r>
              <w:rPr>
                <w:rFonts w:hint="eastAsia" w:ascii="黑体" w:hAnsi="黑体" w:eastAsia="黑体" w:cs="黑体"/>
                <w:b w:val="0"/>
                <w:bCs/>
                <w:color w:val="auto"/>
                <w:sz w:val="20"/>
                <w:szCs w:val="24"/>
                <w:lang w:val="en-US" w:eastAsia="zh-CN"/>
              </w:rPr>
              <w:t>4</w:t>
            </w:r>
            <w:r>
              <w:rPr>
                <w:rFonts w:hint="eastAsia" w:ascii="黑体" w:hAnsi="黑体" w:eastAsia="黑体" w:cs="黑体"/>
                <w:b w:val="0"/>
                <w:bCs/>
                <w:color w:val="auto"/>
                <w:sz w:val="20"/>
                <w:szCs w:val="24"/>
              </w:rPr>
              <w:t>年投资计划</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黑体" w:hAnsi="黑体" w:eastAsia="黑体" w:cs="黑体"/>
                <w:b w:val="0"/>
                <w:bCs/>
                <w:color w:val="auto"/>
                <w:sz w:val="20"/>
                <w:szCs w:val="24"/>
              </w:rPr>
            </w:pPr>
            <w:r>
              <w:rPr>
                <w:rFonts w:hint="eastAsia" w:ascii="黑体" w:hAnsi="黑体" w:eastAsia="黑体" w:cs="黑体"/>
                <w:b w:val="0"/>
                <w:bCs/>
                <w:color w:val="auto"/>
                <w:sz w:val="20"/>
                <w:szCs w:val="24"/>
              </w:rPr>
              <w:t>202</w:t>
            </w:r>
            <w:r>
              <w:rPr>
                <w:rFonts w:hint="eastAsia" w:ascii="黑体" w:hAnsi="黑体" w:eastAsia="黑体" w:cs="黑体"/>
                <w:b w:val="0"/>
                <w:bCs/>
                <w:color w:val="auto"/>
                <w:sz w:val="20"/>
                <w:szCs w:val="24"/>
                <w:lang w:val="en-US" w:eastAsia="zh-CN"/>
              </w:rPr>
              <w:t>4</w:t>
            </w:r>
            <w:r>
              <w:rPr>
                <w:rFonts w:hint="eastAsia" w:ascii="黑体" w:hAnsi="黑体" w:eastAsia="黑体" w:cs="黑体"/>
                <w:b w:val="0"/>
                <w:bCs/>
                <w:color w:val="auto"/>
                <w:sz w:val="20"/>
                <w:szCs w:val="24"/>
              </w:rPr>
              <w:t>年主要建设内容</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黑体" w:hAnsi="黑体" w:eastAsia="黑体" w:cs="黑体"/>
                <w:b w:val="0"/>
                <w:bCs/>
                <w:color w:val="auto"/>
                <w:sz w:val="20"/>
                <w:szCs w:val="24"/>
              </w:rPr>
            </w:pPr>
            <w:r>
              <w:rPr>
                <w:rFonts w:hint="eastAsia" w:ascii="黑体" w:hAnsi="黑体" w:eastAsia="黑体" w:cs="黑体"/>
                <w:b w:val="0"/>
                <w:bCs/>
                <w:color w:val="auto"/>
                <w:sz w:val="20"/>
                <w:szCs w:val="24"/>
              </w:rPr>
              <w:t>牵头</w:t>
            </w:r>
          </w:p>
          <w:p>
            <w:pPr>
              <w:spacing w:beforeLines="0" w:afterLines="0"/>
              <w:jc w:val="center"/>
              <w:rPr>
                <w:rFonts w:hint="eastAsia" w:ascii="黑体" w:hAnsi="黑体" w:eastAsia="黑体" w:cs="黑体"/>
                <w:b w:val="0"/>
                <w:bCs/>
                <w:color w:val="auto"/>
                <w:sz w:val="20"/>
                <w:szCs w:val="24"/>
              </w:rPr>
            </w:pPr>
            <w:r>
              <w:rPr>
                <w:rFonts w:hint="eastAsia" w:ascii="黑体" w:hAnsi="黑体" w:eastAsia="黑体" w:cs="黑体"/>
                <w:b w:val="0"/>
                <w:bCs/>
                <w:color w:val="auto"/>
                <w:sz w:val="20"/>
                <w:szCs w:val="24"/>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3054" w:type="dxa"/>
            <w:gridSpan w:val="2"/>
            <w:vMerge w:val="restart"/>
            <w:tcBorders>
              <w:top w:val="single" w:color="auto" w:sz="6" w:space="0"/>
              <w:left w:val="single" w:color="auto" w:sz="6" w:space="0"/>
              <w:right w:val="single" w:color="auto" w:sz="6" w:space="0"/>
              <w:tl2br w:val="nil"/>
              <w:tr2bl w:val="nil"/>
            </w:tcBorders>
            <w:noWrap w:val="0"/>
            <w:vAlign w:val="center"/>
          </w:tcPr>
          <w:p>
            <w:pPr>
              <w:spacing w:beforeLines="0" w:afterLines="0"/>
              <w:jc w:val="center"/>
              <w:rPr>
                <w:rFonts w:hint="default" w:ascii="仿宋_GB2312" w:hAnsi="仿宋_GB2312" w:eastAsia="仿宋_GB2312" w:cs="仿宋_GB2312"/>
                <w:b/>
                <w:color w:val="auto"/>
                <w:sz w:val="20"/>
                <w:szCs w:val="24"/>
                <w:lang w:val="en-US" w:eastAsia="zh-CN"/>
              </w:rPr>
            </w:pPr>
            <w:r>
              <w:rPr>
                <w:rFonts w:hint="eastAsia" w:ascii="仿宋_GB2312" w:hAnsi="仿宋_GB2312" w:eastAsia="仿宋_GB2312" w:cs="仿宋_GB2312"/>
                <w:b/>
                <w:color w:val="auto"/>
                <w:sz w:val="20"/>
                <w:szCs w:val="24"/>
              </w:rPr>
              <w:t>合计</w:t>
            </w:r>
            <w:r>
              <w:rPr>
                <w:rFonts w:hint="eastAsia" w:ascii="仿宋_GB2312" w:hAnsi="仿宋_GB2312" w:eastAsia="仿宋_GB2312" w:cs="仿宋_GB2312"/>
                <w:b/>
                <w:color w:val="auto"/>
                <w:sz w:val="20"/>
                <w:szCs w:val="24"/>
                <w:lang w:eastAsia="zh-CN"/>
              </w:rPr>
              <w:t>（</w:t>
            </w:r>
            <w:r>
              <w:rPr>
                <w:rFonts w:hint="default" w:ascii="仿宋_GB2312" w:hAnsi="仿宋_GB2312" w:eastAsia="仿宋_GB2312" w:cs="仿宋_GB2312"/>
                <w:b/>
                <w:color w:val="auto"/>
                <w:sz w:val="20"/>
                <w:szCs w:val="24"/>
                <w:lang w:val="en-US" w:eastAsia="zh-CN"/>
              </w:rPr>
              <w:t>51</w:t>
            </w:r>
            <w:r>
              <w:rPr>
                <w:rFonts w:hint="eastAsia" w:ascii="仿宋_GB2312" w:hAnsi="仿宋_GB2312" w:eastAsia="仿宋_GB2312" w:cs="仿宋_GB2312"/>
                <w:b/>
                <w:color w:val="auto"/>
                <w:sz w:val="20"/>
                <w:szCs w:val="24"/>
                <w:lang w:val="en-US" w:eastAsia="zh-CN"/>
              </w:rPr>
              <w:t>项）</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仿宋_GB2312" w:hAnsi="仿宋_GB2312" w:eastAsia="仿宋_GB2312" w:cs="仿宋_GB2312"/>
                <w:b/>
                <w:color w:val="auto"/>
                <w:sz w:val="20"/>
                <w:szCs w:val="24"/>
                <w:lang w:val="en-US" w:eastAsia="zh-CN"/>
              </w:rPr>
            </w:pPr>
            <w:r>
              <w:rPr>
                <w:rFonts w:hint="eastAsia" w:ascii="仿宋_GB2312" w:hAnsi="仿宋_GB2312" w:eastAsia="仿宋_GB2312" w:cs="仿宋_GB2312"/>
                <w:b/>
                <w:color w:val="auto"/>
                <w:sz w:val="20"/>
                <w:szCs w:val="24"/>
                <w:lang w:eastAsia="zh-CN"/>
              </w:rPr>
              <w:t>区重点（</w:t>
            </w:r>
            <w:r>
              <w:rPr>
                <w:rFonts w:hint="default" w:ascii="仿宋_GB2312" w:hAnsi="仿宋_GB2312" w:eastAsia="仿宋_GB2312" w:cs="仿宋_GB2312"/>
                <w:b/>
                <w:color w:val="auto"/>
                <w:sz w:val="20"/>
                <w:szCs w:val="24"/>
                <w:lang w:val="en-US" w:eastAsia="zh-CN"/>
              </w:rPr>
              <w:t>51</w:t>
            </w:r>
            <w:r>
              <w:rPr>
                <w:rFonts w:hint="eastAsia" w:ascii="仿宋_GB2312" w:hAnsi="仿宋_GB2312" w:eastAsia="仿宋_GB2312" w:cs="仿宋_GB2312"/>
                <w:b/>
                <w:color w:val="auto"/>
                <w:sz w:val="20"/>
                <w:szCs w:val="24"/>
                <w:lang w:val="en-US" w:eastAsia="zh-CN"/>
              </w:rPr>
              <w:t>项）</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b/>
                <w:color w:val="auto"/>
                <w:sz w:val="20"/>
                <w:szCs w:val="24"/>
              </w:rPr>
            </w:pP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仿宋_GB2312" w:hAnsi="仿宋_GB2312" w:eastAsia="仿宋_GB2312" w:cs="仿宋_GB2312"/>
                <w:b/>
                <w:color w:val="auto"/>
                <w:sz w:val="28"/>
                <w:szCs w:val="28"/>
                <w:lang w:val="en-US" w:eastAsia="zh-CN"/>
              </w:rPr>
            </w:pPr>
            <w:r>
              <w:rPr>
                <w:rFonts w:hint="default" w:ascii="仿宋_GB2312" w:hAnsi="仿宋_GB2312" w:eastAsia="仿宋_GB2312" w:cs="仿宋_GB2312"/>
                <w:b/>
                <w:color w:val="auto"/>
                <w:sz w:val="28"/>
                <w:szCs w:val="28"/>
                <w:lang w:val="en-US" w:eastAsia="zh-CN"/>
              </w:rPr>
              <w:t>5657865</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仿宋_GB2312" w:hAnsi="仿宋_GB2312" w:eastAsia="仿宋_GB2312" w:cs="仿宋_GB2312"/>
                <w:b/>
                <w:color w:val="auto"/>
                <w:sz w:val="28"/>
                <w:szCs w:val="28"/>
                <w:lang w:val="en-US" w:eastAsia="zh-CN"/>
              </w:rPr>
            </w:pPr>
            <w:r>
              <w:rPr>
                <w:rFonts w:hint="default" w:ascii="仿宋_GB2312" w:hAnsi="仿宋_GB2312" w:eastAsia="仿宋_GB2312" w:cs="仿宋_GB2312"/>
                <w:b/>
                <w:color w:val="auto"/>
                <w:sz w:val="28"/>
                <w:szCs w:val="28"/>
                <w:lang w:val="en-US" w:eastAsia="zh-CN"/>
              </w:rPr>
              <w:t>1942196</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仿宋_GB2312" w:hAnsi="仿宋_GB2312" w:eastAsia="仿宋_GB2312" w:cs="仿宋_GB2312"/>
                <w:b/>
                <w:color w:val="auto"/>
                <w:sz w:val="28"/>
                <w:szCs w:val="28"/>
                <w:lang w:val="en-US" w:eastAsia="zh-CN"/>
              </w:rPr>
            </w:pPr>
            <w:r>
              <w:rPr>
                <w:rFonts w:hint="default" w:ascii="仿宋_GB2312" w:hAnsi="仿宋_GB2312" w:eastAsia="仿宋_GB2312" w:cs="仿宋_GB2312"/>
                <w:b/>
                <w:color w:val="auto"/>
                <w:sz w:val="28"/>
                <w:szCs w:val="28"/>
                <w:lang w:val="en-US" w:eastAsia="zh-CN"/>
              </w:rPr>
              <w:t>756889</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0"/>
                <w:szCs w:val="24"/>
              </w:rPr>
            </w:pP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3054" w:type="dxa"/>
            <w:gridSpan w:val="2"/>
            <w:vMerge w:val="continue"/>
            <w:tcBorders>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b/>
                <w:color w:val="auto"/>
                <w:sz w:val="20"/>
                <w:szCs w:val="24"/>
              </w:rPr>
            </w:pP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仿宋_GB2312" w:hAnsi="仿宋_GB2312" w:eastAsia="仿宋_GB2312" w:cs="仿宋_GB2312"/>
                <w:b/>
                <w:color w:val="auto"/>
                <w:sz w:val="20"/>
                <w:szCs w:val="24"/>
                <w:lang w:val="en-US" w:eastAsia="zh-CN"/>
              </w:rPr>
            </w:pPr>
            <w:r>
              <w:rPr>
                <w:rFonts w:hint="eastAsia" w:ascii="仿宋_GB2312" w:hAnsi="仿宋_GB2312" w:eastAsia="仿宋_GB2312" w:cs="仿宋_GB2312"/>
                <w:b/>
                <w:color w:val="auto"/>
                <w:sz w:val="20"/>
                <w:szCs w:val="24"/>
                <w:lang w:eastAsia="zh-CN"/>
              </w:rPr>
              <w:t>省市重点（</w:t>
            </w:r>
            <w:r>
              <w:rPr>
                <w:rFonts w:hint="default" w:ascii="仿宋_GB2312" w:hAnsi="仿宋_GB2312" w:eastAsia="仿宋_GB2312" w:cs="仿宋_GB2312"/>
                <w:b/>
                <w:color w:val="auto"/>
                <w:sz w:val="20"/>
                <w:szCs w:val="24"/>
                <w:lang w:val="en-US" w:eastAsia="zh-CN"/>
              </w:rPr>
              <w:t>26</w:t>
            </w:r>
            <w:r>
              <w:rPr>
                <w:rFonts w:hint="eastAsia" w:ascii="仿宋_GB2312" w:hAnsi="仿宋_GB2312" w:eastAsia="仿宋_GB2312" w:cs="仿宋_GB2312"/>
                <w:b/>
                <w:color w:val="auto"/>
                <w:sz w:val="20"/>
                <w:szCs w:val="24"/>
                <w:lang w:val="en-US" w:eastAsia="zh-CN"/>
              </w:rPr>
              <w:t>项）</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b/>
                <w:color w:val="auto"/>
                <w:sz w:val="20"/>
                <w:szCs w:val="24"/>
              </w:rPr>
            </w:pP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仿宋_GB2312" w:hAnsi="仿宋_GB2312" w:eastAsia="仿宋_GB2312" w:cs="仿宋_GB2312"/>
                <w:b/>
                <w:color w:val="auto"/>
                <w:sz w:val="28"/>
                <w:szCs w:val="28"/>
                <w:lang w:val="en-US" w:eastAsia="zh-CN"/>
              </w:rPr>
            </w:pPr>
            <w:r>
              <w:rPr>
                <w:rFonts w:hint="default" w:ascii="仿宋_GB2312" w:hAnsi="仿宋_GB2312" w:eastAsia="仿宋_GB2312" w:cs="仿宋_GB2312"/>
                <w:b/>
                <w:color w:val="auto"/>
                <w:sz w:val="28"/>
                <w:szCs w:val="28"/>
                <w:lang w:val="en-US" w:eastAsia="zh-CN"/>
              </w:rPr>
              <w:t>4645326</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仿宋_GB2312" w:hAnsi="仿宋_GB2312" w:eastAsia="仿宋_GB2312" w:cs="仿宋_GB2312"/>
                <w:b/>
                <w:color w:val="auto"/>
                <w:sz w:val="28"/>
                <w:szCs w:val="28"/>
                <w:lang w:val="en-US" w:eastAsia="zh-CN"/>
              </w:rPr>
            </w:pPr>
            <w:r>
              <w:rPr>
                <w:rFonts w:hint="default" w:ascii="仿宋_GB2312" w:hAnsi="仿宋_GB2312" w:eastAsia="仿宋_GB2312" w:cs="仿宋_GB2312"/>
                <w:b/>
                <w:color w:val="auto"/>
                <w:sz w:val="28"/>
                <w:szCs w:val="28"/>
                <w:lang w:val="en-US" w:eastAsia="zh-CN"/>
              </w:rPr>
              <w:t>1732359</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仿宋_GB2312" w:hAnsi="仿宋_GB2312" w:eastAsia="仿宋_GB2312" w:cs="仿宋_GB2312"/>
                <w:b/>
                <w:color w:val="auto"/>
                <w:sz w:val="28"/>
                <w:szCs w:val="28"/>
                <w:lang w:val="en-US" w:eastAsia="zh-CN"/>
              </w:rPr>
            </w:pPr>
            <w:r>
              <w:rPr>
                <w:rFonts w:hint="default" w:ascii="仿宋_GB2312" w:hAnsi="仿宋_GB2312" w:eastAsia="仿宋_GB2312" w:cs="仿宋_GB2312"/>
                <w:b/>
                <w:color w:val="auto"/>
                <w:sz w:val="28"/>
                <w:szCs w:val="28"/>
                <w:lang w:val="en-US" w:eastAsia="zh-CN"/>
              </w:rPr>
              <w:t>640000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0"/>
                <w:szCs w:val="24"/>
              </w:rPr>
            </w:pP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2"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b/>
                <w:color w:val="auto"/>
                <w:sz w:val="28"/>
                <w:szCs w:val="28"/>
              </w:rPr>
            </w:pPr>
            <w:r>
              <w:rPr>
                <w:rFonts w:hint="eastAsia" w:ascii="仿宋_GB2312" w:hAnsi="仿宋_GB2312" w:eastAsia="仿宋_GB2312" w:cs="仿宋_GB2312"/>
                <w:b/>
                <w:color w:val="auto"/>
                <w:sz w:val="28"/>
                <w:szCs w:val="28"/>
                <w:lang w:eastAsia="zh-CN"/>
              </w:rPr>
              <w:t>一</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b/>
                <w:color w:val="auto"/>
                <w:sz w:val="28"/>
                <w:szCs w:val="28"/>
              </w:rPr>
            </w:pPr>
            <w:r>
              <w:rPr>
                <w:rFonts w:hint="eastAsia" w:ascii="仿宋_GB2312" w:hAnsi="仿宋_GB2312" w:eastAsia="仿宋_GB2312" w:cs="仿宋_GB2312"/>
                <w:b/>
                <w:color w:val="auto"/>
                <w:sz w:val="28"/>
                <w:szCs w:val="28"/>
              </w:rPr>
              <w:t>基础设施工程</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b/>
                <w:color w:val="auto"/>
                <w:sz w:val="28"/>
                <w:szCs w:val="28"/>
                <w:lang w:val="en-US" w:eastAsia="zh-CN"/>
              </w:rPr>
            </w:pPr>
            <w:r>
              <w:rPr>
                <w:rFonts w:hint="eastAsia" w:ascii="仿宋_GB2312" w:hAnsi="仿宋_GB2312" w:eastAsia="仿宋_GB2312" w:cs="仿宋_GB2312"/>
                <w:b/>
                <w:color w:val="auto"/>
                <w:sz w:val="28"/>
                <w:szCs w:val="28"/>
                <w:lang w:val="en-US" w:eastAsia="zh-CN"/>
              </w:rPr>
              <w:t>15项</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b/>
                <w:color w:val="auto"/>
                <w:sz w:val="28"/>
                <w:szCs w:val="28"/>
              </w:rPr>
            </w:pP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仿宋_GB2312" w:hAnsi="仿宋_GB2312" w:eastAsia="仿宋_GB2312" w:cs="仿宋_GB2312"/>
                <w:b/>
                <w:color w:val="auto"/>
                <w:sz w:val="28"/>
                <w:szCs w:val="28"/>
                <w:lang w:val="en-US" w:eastAsia="zh-CN"/>
              </w:rPr>
            </w:pPr>
            <w:r>
              <w:rPr>
                <w:rFonts w:hint="eastAsia" w:ascii="仿宋_GB2312" w:hAnsi="仿宋_GB2312" w:eastAsia="仿宋_GB2312" w:cs="仿宋_GB2312"/>
                <w:b/>
                <w:color w:val="auto"/>
                <w:sz w:val="28"/>
                <w:szCs w:val="28"/>
                <w:lang w:val="en-US" w:eastAsia="zh-CN"/>
              </w:rPr>
              <w:t>91</w:t>
            </w:r>
            <w:r>
              <w:rPr>
                <w:rFonts w:hint="default" w:ascii="仿宋_GB2312" w:hAnsi="仿宋_GB2312" w:eastAsia="仿宋_GB2312" w:cs="仿宋_GB2312"/>
                <w:b/>
                <w:color w:val="auto"/>
                <w:sz w:val="28"/>
                <w:szCs w:val="28"/>
                <w:lang w:val="en-US" w:eastAsia="zh-CN"/>
              </w:rPr>
              <w:t>7313.</w:t>
            </w:r>
            <w:r>
              <w:rPr>
                <w:rFonts w:hint="eastAsia" w:ascii="仿宋_GB2312" w:hAnsi="仿宋_GB2312" w:eastAsia="仿宋_GB2312" w:cs="仿宋_GB2312"/>
                <w:b/>
                <w:color w:val="auto"/>
                <w:sz w:val="28"/>
                <w:szCs w:val="28"/>
                <w:lang w:val="en-US" w:eastAsia="zh-CN"/>
              </w:rPr>
              <w:t>5</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仿宋_GB2312" w:hAnsi="仿宋_GB2312" w:eastAsia="仿宋_GB2312" w:cs="仿宋_GB2312"/>
                <w:b/>
                <w:color w:val="auto"/>
                <w:sz w:val="28"/>
                <w:szCs w:val="28"/>
                <w:lang w:val="en-US" w:eastAsia="zh-CN"/>
              </w:rPr>
            </w:pPr>
            <w:r>
              <w:rPr>
                <w:rFonts w:hint="default" w:ascii="仿宋_GB2312" w:hAnsi="仿宋_GB2312" w:eastAsia="仿宋_GB2312" w:cs="仿宋_GB2312"/>
                <w:b/>
                <w:color w:val="auto"/>
                <w:sz w:val="28"/>
                <w:szCs w:val="28"/>
                <w:lang w:val="en-US" w:eastAsia="zh-CN"/>
              </w:rPr>
              <w:t>3</w:t>
            </w:r>
            <w:r>
              <w:rPr>
                <w:rFonts w:hint="eastAsia" w:ascii="仿宋_GB2312" w:hAnsi="仿宋_GB2312" w:eastAsia="仿宋_GB2312" w:cs="仿宋_GB2312"/>
                <w:b/>
                <w:color w:val="auto"/>
                <w:sz w:val="28"/>
                <w:szCs w:val="28"/>
                <w:lang w:val="en-US" w:eastAsia="zh-CN"/>
              </w:rPr>
              <w:t>2</w:t>
            </w:r>
            <w:r>
              <w:rPr>
                <w:rFonts w:hint="default" w:ascii="仿宋_GB2312" w:hAnsi="仿宋_GB2312" w:eastAsia="仿宋_GB2312" w:cs="仿宋_GB2312"/>
                <w:b/>
                <w:color w:val="auto"/>
                <w:sz w:val="28"/>
                <w:szCs w:val="28"/>
                <w:lang w:val="en-US" w:eastAsia="zh-CN"/>
              </w:rPr>
              <w:t>1500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仿宋_GB2312" w:hAnsi="仿宋_GB2312" w:eastAsia="仿宋_GB2312" w:cs="仿宋_GB2312"/>
                <w:b/>
                <w:color w:val="auto"/>
                <w:sz w:val="28"/>
                <w:szCs w:val="28"/>
                <w:lang w:val="en-US" w:eastAsia="zh-CN"/>
              </w:rPr>
            </w:pPr>
            <w:r>
              <w:rPr>
                <w:rFonts w:hint="eastAsia" w:ascii="仿宋_GB2312" w:hAnsi="仿宋_GB2312" w:eastAsia="仿宋_GB2312" w:cs="仿宋_GB2312"/>
                <w:b/>
                <w:color w:val="auto"/>
                <w:sz w:val="28"/>
                <w:szCs w:val="28"/>
                <w:lang w:val="en-US" w:eastAsia="zh-CN"/>
              </w:rPr>
              <w:t>186217</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8"/>
                <w:szCs w:val="28"/>
              </w:rPr>
            </w:pP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56"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国家城乡融合发展试验区清远市预制菜产业园基础设施建设项目（一期）▲</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对板塘地块（461亩）、荷兴工业园、泰洋湖工业集聚区地块实施建设，建设内容为场地平整工程、道路工程、路灯工程、电力工程、信号灯工程、给排水工程（含管网铺设及自来水厂增容）、园区内新建基础设施等工程，以及完善园区停车场及充电桩等配套基础设施。</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2023-</w:t>
            </w:r>
          </w:p>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83348</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16000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10000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完成场地平整工程、道路工程、路灯工程等。</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飞来峡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2"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2</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清远石角天然气分布式能源站项目▲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一期工程拟建设规模2X120MW燃气一蒸汽联合循环热电联产机组。</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2022-</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117732</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80000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40000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厂房建设和设备安装。</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石角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3</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清远市清城区白庙地块200MW/400MWh独立储能站项目△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 xml:space="preserve">项目总投资 </w:t>
            </w:r>
            <w:r>
              <w:rPr>
                <w:rFonts w:hint="default" w:ascii="仿宋_GB2312" w:hAnsi="仿宋_GB2312" w:eastAsia="仿宋_GB2312" w:cs="仿宋_GB2312"/>
                <w:i w:val="0"/>
                <w:iCs w:val="0"/>
                <w:color w:val="auto"/>
                <w:kern w:val="0"/>
                <w:sz w:val="21"/>
                <w:szCs w:val="21"/>
                <w:u w:val="none"/>
                <w:lang w:val="en-US" w:eastAsia="zh-CN" w:bidi="ar"/>
              </w:rPr>
              <w:t>9</w:t>
            </w:r>
            <w:r>
              <w:rPr>
                <w:rFonts w:hint="eastAsia" w:ascii="仿宋_GB2312" w:hAnsi="仿宋_GB2312" w:eastAsia="仿宋_GB2312" w:cs="仿宋_GB2312"/>
                <w:i w:val="0"/>
                <w:iCs w:val="0"/>
                <w:color w:val="auto"/>
                <w:kern w:val="0"/>
                <w:sz w:val="21"/>
                <w:szCs w:val="21"/>
                <w:u w:val="none"/>
                <w:lang w:val="en-US" w:eastAsia="zh-CN" w:bidi="ar"/>
              </w:rPr>
              <w:t>.9亿元，占地面积38219.96平方米，建筑面积21630平方米,(其中包括储能电池室、集控室、配电室、升压站、值班室、办公楼及其它附属运营设施等。),本工程新建200MW/400MWh储能电站，为终期建设规模，拟选用磷酸铁锂电池，根据初步电池选型，暂定由160个1.25MW/2.5MWh储能单元组成；配套建设1座220kV升压站，本期安装2台120MVA三相双绕组自冷有载调压变压器；220出线本期为1回，采用单母线接线，已达终期规模；35kV本期出线54回，采用单母线分段接线，已达终期规模</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2023-</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99200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40000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20000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建设储能电池室、集控室、配电室、升压站、值班室、办公楼及其它附属运营设施等。</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东城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5"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4</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清远港清远港区回岐正隆码头一期工程△</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建设4个1000吨级干散货泊位，水工结构按2000吨级设计建造，码头长度282m,设计通过能力870万吨/年。</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2026</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24043</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15000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建设码头主体结构</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石角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4"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5</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华润清远清城润远复合光伏发电项目△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项目拟利用石角镇沙埗村的坑塘水面、一般农用地约1500亩，建设渔光互补、农光互补光伏发电项目，新建一座升压站，项目装机容量90MW，年发电量约1亿千瓦时，项目发电量全额上网，就近接入南方电网。</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2026</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41000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26000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完成项目全容量并网发电。</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石角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3"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6</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广州发展清远清城龙塘100MW渔光互补光伏发电项目△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规划建设100MW渔光互补发电项目，采用渔业与光伏相结合技术，包含发电场、升压站、配电室、输电外线接网工程。</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占地面积：1000000平方米，建筑面积：12000平方米；光伏上网模式：全额上网，复用光伏阵列下鱼塘养殖水产品，约8万平方米。装机容量：120MWp，采用高效光伏组件和组串式逆变器，经升压站送出并入电网，配备10MW/MWh新型储能系统。</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50000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20000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完成100MW光伏区建设、110kV升压站建设及配套的送出线路工程，且成功并网发电。</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龙塘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48"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7</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清远市丰晟新能源科技有限公司-清远市清城区龙塘100MW渔农互补光伏项目△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规划建设100MW渔光互补项目，采用渔业与光伏相结合技术，包含发电场、升压站、配电室、输电外线接网工程，总投资5亿元，总占地面积：950000平方米，建筑面积：10000平方米，装机容量：120MWp，拟选用545Wp单晶硅组件，光伏上网模式：全额上网，复用光伏阵列下鱼塘养殖水产品，储能配置方式：自建，配置容量：10MW/10MWh。</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50000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20000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安装梅杨丫、西泽约880亩光伏场50MW光伏板（10.9万块550W板），PC桩、柔性支架、光伏场区至升压站的35KV汇集电路约11公里主线、110KV升压站主体建筑、110KV输送出线路约6公里主线。</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龙塘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16"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8</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广东家美陶瓷有限公司一期二期分布式光伏发电项目△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本项目主要利用广东家美陶瓷有限公司厂区内的厂房大约20.4万平方米的屋顶面积，建设28MWp分布式光伏项目，主要材料为：60814块540Wp单晶双玻组及134组串式逆变器，通过输电线路连接成一套太阳能光电发电系统，预计装机容量28000kWp，预计月发电量为250万kWh,项目拟采用10KV电压等级自发自用余电上网的并网方式。</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2023-</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14000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7000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7000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铺设光伏板</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源潭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5"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9</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广清纺织服装产业有序转移园基础配套设施项目△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建设16条市政道路和1座人行天桥。建设道路总长约28.647千米，宽度15-45米不等，建设内容包含道路工程、排水工程、电力工程、通信工程、交通工程等相关配套工程；建设人行天桥，桥长60米，桥宽6.1米，天桥总面积约878平方米。</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2023-</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2028</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358436.25</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140000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10000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华清大道路基处理30%，华鸿大道土地平整以及路基处理10%</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石角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0"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10</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清远市清城区中环广场基础设施升级改造项目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该项目建设内容主要是对建筑面积约91410平方米的商业体内部及公共区域进行升级改造：包括给排水、供配电、空调通风、扶梯电梯、消防安防、车辆管理、音视频、防雷、通讯等弱电系统等项目进行补充加装或升级改造。同时，对商业体室外约6000㎡广场进行智能化、景观化和环保绿化工程升级改造，提升项目商业形象。项目开业运营后，预计可带动约6000个就业岗位。</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2023-</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12000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10000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对建筑面积约91410平方米的商业体内部及公共区域进行升级改造：包括给排水、供配电、空调通风、扶梯电梯、消防安防、车辆管理、音视频、防雷、通讯等弱电系统等项目进行补充加装或升级改造。同时，对商业体室外约6000㎡广场进行智能化、景观化和环保绿化工程升级改造</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洲心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6"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11</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2023年度清远市清城区龙塘镇泗合村垦造水田项目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建设总规模为316.13亩，主要建内容为：土地平整工程、土壤改良工程、灌溉与排水工程、田间道路工程、农田防护与生态环境保持工程及其他工程。</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1985.21</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完成土地平整工程、土壤改良工程、灌溉与排水工程、田间道路工程、农田防护与生态环境保持工程及其他工程等大部分内容。</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龙塘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12</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凤城街沙田产业园配套设施建设项目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改造东门塘公园和中山公园，在东门塘片区建设夜经济带，在公园周边建设给排水管网、配套服务用房、放置货物类可移动式箱体、路灯及绿化等相关配套设施；在中山公园建设精品公厕。</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2022-</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50000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29200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4000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完善古城社区基础设施；在东门塘公园周边规划给排水管网、新建配套服务用房、可移动式箱体、新建铺装、路灯，清淤、补种绿化等；在中山公园内建设精品公厕。</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凤城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1"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13</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国家城乡融合发展试验区清城区飞来峡镇电排、电灌站提升改造工程（一期)</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项目拟对飞来峡镇辖区内的3座电排站（禾仓、黄洞、石梨）及3座电灌站（林塘、黄口、崩坑）进行升级改造。</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2023-</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8643</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禾仓、黄洞、石梨电排站完成升级改造。</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飞来峡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1"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14</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龙塘镇银龙社区自来水管道改造工程</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给水管道安装22483米，消防栓安装17套，阀门井64座，拆除路面及恢复6604平方米，以及绿化种植等。</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2023-</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1517</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1217</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给水管道安装22483米，消防栓安装17套，阀门井64座，拆除路面及恢复6604平方米，以及绿化种植等。</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龙塘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16"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15</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清远市清城区横荷社区卫生服务中心二期扩建工程</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新建一栋急诊医技楼，总建筑面积约4206平方米，建筑基底面积约810平方米，建筑高度约24米，层数为5层。主要设置发热门诊、医学观察室等业务科室；共设置60张床位，以及完善相关配套医疗设备设施。</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2023-</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5409</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新建一栋急诊医技楼，总建筑面积约4206平方米，建筑基底面积约810平方米，建筑高度约24米，层数为5层。主要设置发热门诊、医学观察室、康复科、内科诊室、药房、档案室等业务科室；共设置60张床位，以及完善相关配套医疗设备设施。</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横荷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b/>
                <w:color w:val="auto"/>
                <w:sz w:val="28"/>
                <w:szCs w:val="28"/>
              </w:rPr>
            </w:pPr>
            <w:r>
              <w:rPr>
                <w:rFonts w:hint="eastAsia" w:ascii="仿宋_GB2312" w:hAnsi="仿宋_GB2312" w:eastAsia="仿宋_GB2312" w:cs="仿宋_GB2312"/>
                <w:b/>
                <w:color w:val="auto"/>
                <w:sz w:val="28"/>
                <w:szCs w:val="28"/>
                <w:lang w:eastAsia="zh-CN"/>
              </w:rPr>
              <w:t>二</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b/>
                <w:color w:val="auto"/>
                <w:sz w:val="28"/>
                <w:szCs w:val="28"/>
              </w:rPr>
            </w:pPr>
            <w:r>
              <w:rPr>
                <w:rFonts w:hint="eastAsia" w:ascii="仿宋_GB2312" w:hAnsi="仿宋_GB2312" w:eastAsia="仿宋_GB2312" w:cs="仿宋_GB2312"/>
                <w:b/>
                <w:color w:val="auto"/>
                <w:sz w:val="28"/>
                <w:szCs w:val="28"/>
              </w:rPr>
              <w:t>产业工程</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both"/>
              <w:rPr>
                <w:rFonts w:hint="eastAsia" w:ascii="仿宋_GB2312" w:hAnsi="仿宋_GB2312" w:eastAsia="仿宋_GB2312" w:cs="仿宋_GB2312"/>
                <w:b/>
                <w:color w:val="auto"/>
                <w:sz w:val="28"/>
                <w:szCs w:val="28"/>
                <w:lang w:val="en-US" w:eastAsia="zh-CN"/>
              </w:rPr>
            </w:pPr>
            <w:r>
              <w:rPr>
                <w:rFonts w:hint="eastAsia" w:ascii="仿宋_GB2312" w:hAnsi="仿宋_GB2312" w:eastAsia="仿宋_GB2312" w:cs="仿宋_GB2312"/>
                <w:b/>
                <w:color w:val="auto"/>
                <w:sz w:val="28"/>
                <w:szCs w:val="28"/>
                <w:lang w:val="en-US" w:eastAsia="zh-CN"/>
              </w:rPr>
              <w:t>28项</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仿宋_GB2312" w:hAnsi="仿宋_GB2312" w:eastAsia="仿宋_GB2312" w:cs="仿宋_GB2312"/>
                <w:b/>
                <w:color w:val="auto"/>
                <w:sz w:val="28"/>
                <w:szCs w:val="28"/>
                <w:lang w:val="en-US" w:eastAsia="zh-CN"/>
              </w:rPr>
            </w:pPr>
            <w:r>
              <w:rPr>
                <w:rFonts w:hint="eastAsia" w:ascii="仿宋_GB2312" w:hAnsi="仿宋_GB2312" w:eastAsia="仿宋_GB2312" w:cs="仿宋_GB2312"/>
                <w:b/>
                <w:color w:val="auto"/>
                <w:sz w:val="28"/>
                <w:szCs w:val="28"/>
                <w:lang w:val="en-US" w:eastAsia="zh-CN"/>
              </w:rPr>
              <w:t>348</w:t>
            </w:r>
            <w:r>
              <w:rPr>
                <w:rFonts w:hint="default" w:ascii="仿宋_GB2312" w:hAnsi="仿宋_GB2312" w:eastAsia="仿宋_GB2312" w:cs="仿宋_GB2312"/>
                <w:b/>
                <w:color w:val="auto"/>
                <w:sz w:val="28"/>
                <w:szCs w:val="28"/>
                <w:lang w:val="en-US" w:eastAsia="zh-CN"/>
              </w:rPr>
              <w:t>7069</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仿宋_GB2312" w:hAnsi="仿宋_GB2312" w:eastAsia="仿宋_GB2312" w:cs="仿宋_GB2312"/>
                <w:b/>
                <w:color w:val="auto"/>
                <w:sz w:val="28"/>
                <w:szCs w:val="28"/>
                <w:lang w:val="en-US" w:eastAsia="zh-CN"/>
              </w:rPr>
            </w:pPr>
            <w:r>
              <w:rPr>
                <w:rFonts w:hint="default" w:ascii="仿宋_GB2312" w:hAnsi="仿宋_GB2312" w:eastAsia="仿宋_GB2312" w:cs="仿宋_GB2312"/>
                <w:b/>
                <w:color w:val="auto"/>
                <w:sz w:val="28"/>
                <w:szCs w:val="28"/>
                <w:lang w:val="en-US" w:eastAsia="zh-CN"/>
              </w:rPr>
              <w:t>970696</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仿宋_GB2312" w:hAnsi="仿宋_GB2312" w:eastAsia="仿宋_GB2312" w:cs="仿宋_GB2312"/>
                <w:b/>
                <w:color w:val="auto"/>
                <w:sz w:val="28"/>
                <w:szCs w:val="28"/>
                <w:lang w:val="en-US"/>
              </w:rPr>
            </w:pPr>
            <w:r>
              <w:rPr>
                <w:rFonts w:hint="eastAsia" w:ascii="仿宋_GB2312" w:hAnsi="仿宋_GB2312" w:eastAsia="仿宋_GB2312" w:cs="仿宋_GB2312"/>
                <w:b/>
                <w:color w:val="auto"/>
                <w:sz w:val="28"/>
                <w:szCs w:val="28"/>
                <w:lang w:val="en-US" w:eastAsia="zh-CN"/>
              </w:rPr>
              <w:t>445172</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both"/>
              <w:rPr>
                <w:rFonts w:hint="eastAsia" w:ascii="仿宋_GB2312" w:hAnsi="仿宋_GB2312" w:eastAsia="仿宋_GB2312" w:cs="仿宋_GB2312"/>
                <w:color w:val="auto"/>
                <w:sz w:val="28"/>
                <w:szCs w:val="28"/>
              </w:rPr>
            </w:pP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47"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16</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广东云尚产城实业有限公司云尚产城项目▲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项目属广州北·中大时尚科技城项目的二期，位于石角镇，占地约1300亩，建筑面积约300万平方米，总投资100亿，拟与一期联合打造以纺织服装为主导的时尚产业集群。</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2028</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1000000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110000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3#、4#地块总开工面积约为68万平方米，预计共30栋完成结构封顶，建成面积约为41万方米。</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石角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3"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17</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清远市沃德供应链管理有限公司普洛斯清远时尚科技创新谷项目▲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项目占地面积545亩，建筑面积63万平方米，建设内容为生产车间（分拨中心）、智慧仓库、综合楼、员工宿舍以及相应配套设施，投产后亩均税收为30万元，带动就业人数2万人等。</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2023-</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200000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70000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60000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主体结构施工、维护结构、装修工程、室外工程。</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石角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70"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18</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中大印刷（清远）有限公司中星广清智谷产业园建设项目▲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占地312亩，规划总建筑面积约41.6万平方米。项目主要建设高标准厂房、员工宿舍及相关生产配套设施，主要引进日用化学产品制造、智能家具制造、通用设备制造、绿色印刷产业的制造业企业。项目预计引进入园企业约60家，入驻园区企业的总年产值约18.7亿元，预计总年纳税约9359万元。</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2020-</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2026</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99000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35000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11000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2024年计划建设高标准厂房4栋，约5万平方米；配套宿舍1栋，约8000平方米；办公楼1栋，约3500平方米。</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源潭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0"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19</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中国南部物流枢纽项目二期▲</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二期占地228亩，规划功能为粤港澳大湾区生产生活物品分拨中心，规划总建筑面积超20万㎡。首期规划建设4栋双层恒温冷链仓，3栋绿色、环保、节能、国内一流的标准化高端双层常温仓。建设“大湾区应急物资保障中心”“大湾区药品疫苗储备中心”“大湾区菜篮子冷链基地”“跨境电商物流中心”等。</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2021-</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95949</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31000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26000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继续建设7#常温仓库和8#、9#、10#、11#冷链仓。</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源潭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20</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清远市清城区石角镇舟山村委马鞍山矿区建筑用砂岩矿投资建设项目△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分为三期建造。评估利用可采储量为建筑用砂4415.91万立方米，全风化层281.49万立方米，半风化砂709.01万立方米，夹石36.64万立方米，残破积层73.29万立方米。运营期为14年8个月。主要产品为建筑用砂岩矿。釆用分水平台阶式开采工艺及滚动式开采方式，办公生活区，破碎生产线建设，运输道路及输送皮带廊道建设，配电房，中控室，压泥机，设备房等。</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2026</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142299.43</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60000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分为三期建造。评估利用可采储量为建筑用砂4415.91万立方米，全风化层281.49万立方米，半风化砂709.01万立方米，夹石36.64万立方米，残破积层73.29万立方米。运营期为14年8个月。主要产品为建筑用砂岩矿。釆用分水平台阶式开采工艺及滚动式开采方式，矿区主要建设办公生活区，破碎生产线、运输道路、输送皮带廊道、配电房、中控室、压泥机和设备房等。</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石角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1"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21</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清远嘉福创新产业园项目△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项目占地面积约33.75亩，总建筑面积56250平方米，包括地下车库24509平方米，2栋产业楼，1栋宿舍楼，21栋总楼栋，预计建设周期2年。</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30000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戊类高层厂房8栋及其地下室。</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东城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22</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广东博宏健康产业科技有限公司中医药健康园建设项目△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园区占地约47亩，建筑面积92822平方米。项目通过规划建设互联网+中药材交易平台、互联网+医疗健康平台、互联网+医药大楼与健康产业科研生产高标厂房，打造一个集总部经济、远程医疗、健康服务、研发、生产于一体的健康产业园，</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2023-</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2026</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35000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项目一期用地面积约47亩，项目计划完成地下室单体、1-3号楼单体建设。</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东城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23</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清远市金发科技高分子新材料产业示范基地工程△</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建设高标准智能车间和仓库、科研办公及生活配套设施；项目拟建年产100万吨高性能改性塑料以及集熔喷布、医用口罩、防护服、医用手套等健康防护产品生产基地。</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2014-</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750000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660000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30000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开展高性能复合材料生产建设项目和50万㎡梯度涂布微孔膜（一期）项目车间、仓库及配套建设；屋顶光伏发电项目、高分子新材料（包含功能性化纤材料、高端纺织新材料）孵化器、加速器项目开工建设。</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石角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9"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24</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清远市钛美铝业有限公司二期工程（汽车轻量化零部件）建设项目△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规划建设成集生产车间、综合办公楼、宿舍楼为一体的围绕加工生产汽车轻量化零部件、铝车厢体、家装饰材配件、电子电器零部件等铝制品工业型材的厂房及其配套建筑。二期厂房规划总建筑计容面积47037.03㎡，其中办公楼计容建筑面积2680.32㎡；厂房计容建筑面积40122㎡；新建宿舍楼计容建筑面积3946.46㎡；其它配套计容建筑面积288.25㎡。</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2022-</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20000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9000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i w:val="0"/>
                <w:iCs w:val="0"/>
                <w:color w:val="auto"/>
                <w:kern w:val="0"/>
                <w:sz w:val="21"/>
                <w:szCs w:val="21"/>
                <w:u w:val="none"/>
                <w:lang w:val="en-US" w:eastAsia="zh-CN" w:bidi="ar"/>
              </w:rPr>
              <w:t>进行综合办公楼装修、安装氧化生产线、喷粉线生产线、CNC深加工生产线、配套环保设施等。</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源潭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9"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25</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清远市科建门窗幕墙装饰有限公司厂房、宿舍楼建设项目△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项目总用地面积87884.53平方米，建筑总面积182406平方米，其中厂房总面积155025平方米，宿舍面积26721平方</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米，建筑高度28.2米。</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2023-</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50000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10000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6000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计划建设12#、13#、22#、23#厂房。</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石角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26</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广东洪盛利五金科技股份有限公司年产10万吨高性能（合金）五金配件建设项目△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主要建设车间、仓库研发办公及配套设施等；购置拉丝机、车床、冲床等设备；预计建成后年产10万吨高性能（合金）五金配件，六角华司钻尾螺丝、沉头钻尾螺丝、圆头钻尾螺丝、沉头三角钻尾螺丝、特殊定制螺丝等；总建筑面积：38512.95平方米,主要建筑包括综合楼、厂房、门卫、设备房、仓库；层数：地下一层、地上1~5层。</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2022-</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30140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10000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8000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厂房内装修、设备安装调试、完善配套设施建设等。</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石角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65"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27</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清远德诚科技园开发有限公司厂房用地建设项目△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生产制造尼龙拉链、金属拉链、塑胶拉链及上下游周边产业链；建设厂房5栋建筑面积约7万平方米，宿舍楼3栋建筑面积约1万平方</w:t>
            </w:r>
            <w:bookmarkStart w:id="0" w:name="_GoBack"/>
            <w:bookmarkEnd w:id="0"/>
            <w:r>
              <w:rPr>
                <w:rFonts w:hint="eastAsia" w:ascii="仿宋_GB2312" w:hAnsi="仿宋_GB2312" w:eastAsia="仿宋_GB2312" w:cs="仿宋_GB2312"/>
                <w:i w:val="0"/>
                <w:iCs w:val="0"/>
                <w:color w:val="auto"/>
                <w:kern w:val="0"/>
                <w:sz w:val="21"/>
                <w:szCs w:val="21"/>
                <w:u w:val="none"/>
                <w:lang w:val="en-US" w:eastAsia="zh-CN" w:bidi="ar"/>
              </w:rPr>
              <w:t>米</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2021-</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25000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15000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设备进场及投产</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石角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2"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28</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赛美（广东）科技创新产业园建设项目△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新建8层实验生产厂房1栋，6层标准厂房9栋，新建宿舍楼1栋，污水处理池一处，改造现有有办公楼1栋，改造宿舍楼2栋。</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2020-</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2026</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57000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18430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研发楼内部建设，设备订购，安装，调试。</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石角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7"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29</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天安智谷·进兴科技产业园△</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建设28栋高标准厂房，3栋宿舍，1栋办公类，1个饭堂，1个污水处理站，1个垃圾收集站，总建筑面积约24.3万m²。</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2020-</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2026</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90878</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30929</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24000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建设高标厂房。</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石角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30</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忠信胶片二期、三期工程△</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年产24000吨特种胶凝、光伏材料PVB胶片及18000吨PVB树脂配套工程项目的二期、三期续建。分阶段完工投产。主要建筑有：树脂车间二、三期，胶片车间二期、三期，原料仓二期、成品仓二期，纯水站二、三期，树脂二、三期配电房，应急水池二期，污水收集池，树脂控制室、储罐区。</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2022-</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60300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6000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7000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树脂车间二、三期、纯水站二、三期，树脂二、三期配电房，应急水池二期，树脂控制室。</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石角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1"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31</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中澳空中丝绸之路·华南供应链总部基地（清远）△</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选址于清远市清城区源潭镇乐广高速源潭出口与355国道交汇处北侧地块，规划用地面积约203亩（以最终挂牌出让面积为准），容积率1.5-2.5，总投资12.2亿元（人民币，下同），其中外资投资2100万美元。项目主要发展现代物流仓储服务业、供应链管理服务业，主要建设冻库、保鲜库、恒温库、恒温加工中心、分拨中心、办公运营中心及其他附属配套用房，主要经营温控食品进出口贸易服务、航空货运与海运服务、食品与快消品仓储分拨、食品加工及相关产业配套服务。项目建成达产后，预计年进口牛羊肉1万吨；牛奶及奶制品5000万升；水果和海鲜1.3万吨；及其他快消品。</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2026</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122000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建设冷库、保鲜库、恒温库、批发订单履约中心、恒温加工中心。</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源潭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5"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32</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i w:val="0"/>
                <w:iCs w:val="0"/>
                <w:color w:val="auto"/>
                <w:kern w:val="0"/>
                <w:sz w:val="21"/>
                <w:szCs w:val="21"/>
                <w:u w:val="none"/>
                <w:lang w:val="en-US" w:eastAsia="zh-CN" w:bidi="ar"/>
              </w:rPr>
              <w:t>广东雄亚铝业有限公司年产50万平方米新型绿色环保建筑铝合金模板建设项目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项目总建筑面积107517.49平方米，项目主要生产新型绿色环保建筑铝合金模板，设计生产能力50万平方米/年，建设厂房、综合楼及配套车间，并购置自动开料焊接生产线、喷涂生产线等铝模板生产设备。</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2022-</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36559</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4000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落实车间建设。</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石角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8"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33</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i w:val="0"/>
                <w:iCs w:val="0"/>
                <w:color w:val="auto"/>
                <w:kern w:val="0"/>
                <w:sz w:val="21"/>
                <w:szCs w:val="21"/>
                <w:u w:val="none"/>
                <w:lang w:val="en-US" w:eastAsia="zh-CN" w:bidi="ar"/>
              </w:rPr>
              <w:t>清远市沃展材料科技有限公司建设项目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项目占地面积47亩，分别建设1#生产车间、2#研发大楼和3#设备房。主要产品为高科技装饰材料及铝衣柜、铝橱柜新型环保材料、矿山机械设备研发和智能制造和销售。</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2022-</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9500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7000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2500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车间内基础建设投资，设备、生产线定制生产安装调试。</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石角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7"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34</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粤港澳大湾区“菜篮子”产品清远配送中心项目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项目规划用地面积150亩，总建筑面积10.4m2,预计2025年底竣工，培育期2年。</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50000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8000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进行边坡支护、地基处理、基础工程、主体工程</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源潭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35</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湾区农产品期货交割仓库及中央厨房加工配送项目一期二期</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lang w:val="en-US"/>
              </w:rPr>
            </w:pPr>
            <w:r>
              <w:rPr>
                <w:rFonts w:hint="eastAsia" w:ascii="仿宋_GB2312" w:hAnsi="仿宋_GB2312" w:eastAsia="仿宋_GB2312" w:cs="仿宋_GB2312"/>
                <w:i w:val="0"/>
                <w:iCs w:val="0"/>
                <w:color w:val="auto"/>
                <w:kern w:val="0"/>
                <w:sz w:val="21"/>
                <w:szCs w:val="21"/>
                <w:u w:val="none"/>
                <w:lang w:val="en-US" w:eastAsia="zh-CN" w:bidi="ar"/>
              </w:rPr>
              <w:t>项目规划总用地面积约89亩，容积率为1.0≤ 容积率 ≤2.8，建筑总面积为166241.04平方米，主要建设仓容约15万吨；产能300吨大米生产线等。</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2028</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34450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建设粮食仓库</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源潭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36</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清远冷链物流基地项目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项目计划用地约73亩。拟建设4座万吨冷库及配套物流中心仓库和1座现代智慧冷链物流运输调度及供应链交易结算中心，共计建筑面积约64000平方米，设计库容约8万吨。</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2023-</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22921</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3337</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6000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计划开展基础工程建设，推进冷库、综合楼、常温仓库等主体工程建设。</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源潭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37</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广州市粮油食品产业园（广清园）项目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项目用地面积270亩，主要建设粮油总仓容约50万吨，配套建设稻米、面粉生产车间，植物油分装车间以及中央厨房、食品精深加工车间，管理及生活设施。</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2023-</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2028</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340000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10000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计划开展基础工程建设</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源潭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45"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38</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清远万方大数据产业园</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项目占地面积约4万平方米，建筑面积约14.4万平方米（其中地上约11.1万平方米，地下约3.3万平方米），共规划建设15栋楼。</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项目分三期建设：一期投资2.1亿元，建筑面积约5.4万平方米；二期投资1.9亿元，建筑面积约5万平方米；三期投资1.5亿元，建筑面积约4万</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平方米。项目定位于以大数据的发展与应用为核心，集大数据研发、创业孵化、总部办公为一体、聚集一批国内有影响的大数据相关企业，打造一个</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科技与文化融合的科技创新园区。</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2019-</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55000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35000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7000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完成4#楼、5#楼、6#楼及地下室2#</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东城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39</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清远供销物流文旅产业园</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项目用地91亩，建设产品检测区、冷链物流区、原料冷库区、大型仓储等物流园设施。</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2026</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41000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平整土地、物流园区基础等土建工程</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飞来峡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40</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新才建材有限公司商品混凝土搅拌站建设项目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项目用地约50亩，主要生产商品混凝土、沥青混凝土、砂浆。拟购入5条HZS240混凝土生产线、2条SL</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B4000H8沥青混凝土生产线、1条SZS4000LX砂浆生产线，配备专业实验设备；预计年产商品混凝土160万立方米、沥青</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混凝土50万立方米、砂浆30万立方米。</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15000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i w:val="0"/>
                <w:iCs w:val="0"/>
                <w:color w:val="auto"/>
                <w:kern w:val="0"/>
                <w:sz w:val="21"/>
                <w:szCs w:val="21"/>
                <w:u w:val="none"/>
                <w:lang w:val="en-US" w:eastAsia="zh-CN" w:bidi="ar"/>
              </w:rPr>
              <w:t>用地报批、平整土地、施工许可、打桩做基础</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飞来峡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41</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清远中产城投企业管理有限公司中城智谷厂房建设项目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项目占地面积30亩，建筑面积72482㎡。主要拆除旧厂房，新建高标准厂房、综合楼、技术研究中心等配套建设设施。</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25062.69</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11672</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i w:val="0"/>
                <w:iCs w:val="0"/>
                <w:color w:val="auto"/>
                <w:kern w:val="0"/>
                <w:sz w:val="21"/>
                <w:szCs w:val="21"/>
                <w:u w:val="none"/>
                <w:lang w:val="en-US" w:eastAsia="zh-CN" w:bidi="ar"/>
              </w:rPr>
              <w:t>建设1栋研发生产大楼，4栋高标准厂房。</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龙塘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39"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42</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清远市核力环能生物工程技术有限公司厂房设备新建项目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总用地面积约70亩，总建筑面积118466.54平方米，最高建筑高度29.95米。建设项目包含9栋建筑工程，其中标准工业厂房5栋，工厂建筑面积合计101074.48平方米、综合楼3栋（办公楼2栋、研发楼1栋），建筑面积合计12768.82、员工宿舍楼1栋，建筑面积4623.24平方米。</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23010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10000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i w:val="0"/>
                <w:iCs w:val="0"/>
                <w:color w:val="auto"/>
                <w:kern w:val="0"/>
                <w:sz w:val="21"/>
                <w:szCs w:val="21"/>
                <w:u w:val="none"/>
                <w:lang w:val="en-US" w:eastAsia="zh-CN" w:bidi="ar"/>
              </w:rPr>
              <w:t>完成9栋建筑主体建设。</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龙塘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20"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43</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励泰（清远）新材料科技有限公司年产4000万平方米(EB)电子束辐照固化新材料、42万平方米家具类板件、57.6万平方米贴面板建设项目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选址于清远市清城区横荷街道泰洋湖工业园局部地块，总规划用地面积约90亩，总投资额不低于27000万元人民币，主要发展核辐射加工、塑料薄膜制造、木质家具制造产业，主要建设电子束（EB）辐照技术应用研发中心总部、生产厂房、仓库、综合楼、宿舍楼等，建筑容积率不低于2.0，主要生产EB新材料膜、EB膜人造板、环保喷粉中纤板、贴面板。项目整体建成达产后，预计年产EB电子束辐照固化新材料膜4000万平方米、环保喷粉中纤板42万平方米、贴面板57.6万平方米，预计年产值不低于54000万元，预计年纳税不低于2700万元。</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2023-</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27000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21000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i w:val="0"/>
                <w:iCs w:val="0"/>
                <w:color w:val="auto"/>
                <w:kern w:val="0"/>
                <w:sz w:val="21"/>
                <w:szCs w:val="21"/>
                <w:u w:val="none"/>
                <w:lang w:val="en-US" w:eastAsia="zh-CN" w:bidi="ar"/>
              </w:rPr>
              <w:t>完成剩余生产厂房、仓库、综合楼、宿舍楼等的建设。</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横荷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b/>
                <w:color w:val="auto"/>
                <w:sz w:val="28"/>
                <w:szCs w:val="28"/>
              </w:rPr>
            </w:pPr>
            <w:r>
              <w:rPr>
                <w:rFonts w:hint="eastAsia" w:ascii="仿宋_GB2312" w:hAnsi="仿宋_GB2312" w:eastAsia="仿宋_GB2312" w:cs="仿宋_GB2312"/>
                <w:b/>
                <w:color w:val="auto"/>
                <w:sz w:val="28"/>
                <w:szCs w:val="28"/>
                <w:lang w:eastAsia="zh-CN"/>
              </w:rPr>
              <w:t>三</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b/>
                <w:color w:val="auto"/>
                <w:sz w:val="28"/>
                <w:szCs w:val="28"/>
              </w:rPr>
            </w:pPr>
            <w:r>
              <w:rPr>
                <w:rFonts w:hint="eastAsia" w:ascii="仿宋_GB2312" w:hAnsi="仿宋_GB2312" w:eastAsia="仿宋_GB2312" w:cs="仿宋_GB2312"/>
                <w:b/>
                <w:color w:val="auto"/>
                <w:sz w:val="28"/>
                <w:szCs w:val="28"/>
              </w:rPr>
              <w:t>民生保障工程</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both"/>
              <w:rPr>
                <w:rFonts w:hint="eastAsia" w:ascii="仿宋_GB2312" w:hAnsi="仿宋_GB2312" w:eastAsia="仿宋_GB2312" w:cs="仿宋_GB2312"/>
                <w:b/>
                <w:color w:val="auto"/>
                <w:sz w:val="28"/>
                <w:szCs w:val="28"/>
                <w:lang w:val="en-US" w:eastAsia="zh-CN"/>
              </w:rPr>
            </w:pPr>
            <w:r>
              <w:rPr>
                <w:rFonts w:hint="eastAsia" w:ascii="仿宋_GB2312" w:hAnsi="仿宋_GB2312" w:eastAsia="仿宋_GB2312" w:cs="仿宋_GB2312"/>
                <w:b/>
                <w:color w:val="auto"/>
                <w:sz w:val="28"/>
                <w:szCs w:val="28"/>
                <w:lang w:val="en-US" w:eastAsia="zh-CN"/>
              </w:rPr>
              <w:t>8项</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仿宋_GB2312" w:hAnsi="仿宋_GB2312" w:eastAsia="仿宋_GB2312" w:cs="仿宋_GB2312"/>
                <w:b/>
                <w:color w:val="auto"/>
                <w:sz w:val="28"/>
                <w:szCs w:val="28"/>
                <w:lang w:val="en-US" w:eastAsia="zh-CN"/>
              </w:rPr>
            </w:pPr>
            <w:r>
              <w:rPr>
                <w:rFonts w:hint="eastAsia" w:ascii="仿宋_GB2312" w:hAnsi="仿宋_GB2312" w:eastAsia="仿宋_GB2312" w:cs="仿宋_GB2312"/>
                <w:b/>
                <w:color w:val="auto"/>
                <w:sz w:val="28"/>
                <w:szCs w:val="28"/>
                <w:lang w:val="en-US" w:eastAsia="zh-CN"/>
              </w:rPr>
              <w:t>1253483</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仿宋_GB2312" w:hAnsi="仿宋_GB2312" w:eastAsia="仿宋_GB2312" w:cs="仿宋_GB2312"/>
                <w:b/>
                <w:color w:val="auto"/>
                <w:sz w:val="28"/>
                <w:szCs w:val="28"/>
                <w:lang w:val="en-US" w:eastAsia="zh-CN"/>
              </w:rPr>
            </w:pPr>
            <w:r>
              <w:rPr>
                <w:rFonts w:hint="eastAsia" w:ascii="仿宋_GB2312" w:hAnsi="仿宋_GB2312" w:eastAsia="仿宋_GB2312" w:cs="仿宋_GB2312"/>
                <w:b/>
                <w:color w:val="auto"/>
                <w:sz w:val="28"/>
                <w:szCs w:val="28"/>
                <w:lang w:val="en-US" w:eastAsia="zh-CN"/>
              </w:rPr>
              <w:t>65</w:t>
            </w:r>
            <w:r>
              <w:rPr>
                <w:rFonts w:hint="default" w:ascii="仿宋_GB2312" w:hAnsi="仿宋_GB2312" w:eastAsia="仿宋_GB2312" w:cs="仿宋_GB2312"/>
                <w:b/>
                <w:color w:val="auto"/>
                <w:sz w:val="28"/>
                <w:szCs w:val="28"/>
                <w:lang w:val="en-US" w:eastAsia="zh-CN"/>
              </w:rPr>
              <w:t>0000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仿宋_GB2312" w:hAnsi="仿宋_GB2312" w:eastAsia="仿宋_GB2312" w:cs="仿宋_GB2312"/>
                <w:b/>
                <w:color w:val="auto"/>
                <w:sz w:val="28"/>
                <w:szCs w:val="28"/>
                <w:lang w:val="en-US" w:eastAsia="zh-CN"/>
              </w:rPr>
            </w:pPr>
            <w:r>
              <w:rPr>
                <w:rFonts w:hint="eastAsia" w:ascii="仿宋_GB2312" w:hAnsi="仿宋_GB2312" w:eastAsia="仿宋_GB2312" w:cs="仿宋_GB2312"/>
                <w:b/>
                <w:color w:val="auto"/>
                <w:sz w:val="28"/>
                <w:szCs w:val="28"/>
                <w:lang w:val="en-US" w:eastAsia="zh-CN"/>
              </w:rPr>
              <w:t>125500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both"/>
              <w:rPr>
                <w:rFonts w:hint="eastAsia" w:ascii="仿宋_GB2312" w:hAnsi="仿宋_GB2312" w:eastAsia="仿宋_GB2312" w:cs="仿宋_GB2312"/>
                <w:color w:val="auto"/>
                <w:sz w:val="28"/>
                <w:szCs w:val="28"/>
              </w:rPr>
            </w:pP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49"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44</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清远长隆国际森林度假区森林乐园项目▲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清远长隆国际森林度假区项目以大自然、大生态、大种群、大文体、大旅游为设计理念，结合清远当地自然地貌、景观植被、湖泽生态等特色。</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分别打造银盏森林动植物王国和迎咀山水生态文旅胜地等项目。首期将建设一条长达70公里的森林自驾探索环形线路，打造森林动植物主题度假区，项目用地1万多亩，总建筑面积约150万平方米。</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2016-</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1000000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549000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100000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i w:val="0"/>
                <w:iCs w:val="0"/>
                <w:color w:val="auto"/>
                <w:kern w:val="0"/>
                <w:sz w:val="21"/>
                <w:szCs w:val="21"/>
                <w:u w:val="none"/>
                <w:lang w:val="en-US" w:eastAsia="zh-CN" w:bidi="ar"/>
              </w:rPr>
              <w:t>森林王国首期项目、长颈鹿酒店、大自驾区项目，以及其他后期基地工程项目。</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区长隆办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45</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广东世纪方舟生态农业公园</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项目占地面积1600亩，以农家乐、特色民宿、生态农业等为一体的观光休闲农业公园项目，定位为集特色民宿、文体娱乐和培训、中小学生劳动实践为一体的观光休闲农业公园及农业产业示范综合体。</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2023-</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8000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7000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建设专业篮球馆两个，内含7片CBA标准场地，配套专业健身房、游泳池，同时满足1000人就餐、500人以上住宿等配套设施，农业种植1500亩左右各类果树。</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源潭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4"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46</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清城区东城街乡村振兴建设项目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项目对辖区内的村委会主要包括新桥、平塘、黄金布等范围进行环境提升，主要内容包括道路黑底化等工程。</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2023-</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60000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完成一期建设，推动其他期建设。</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东城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7"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47</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清远市清城区疾病预防控制中心、慢性病防治站、精神卫生中心建设项目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项目占地约10亩，总建筑面积约1.3万平方米，规划建设4幢建筑，包括1幢业务综合楼，1幢检验中心大楼，2幢其他办公大楼。</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2022-</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15000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6500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项目主体工程建设、实验室二次装修、仪器设备购置、信息化建设等</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区卫健局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8"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48</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清城区飞来峡镇高田圩美丽圩镇风貌提升项目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项目主要对飞来峡镇高田圩镇范围内的建筑进行环境整治和外立面整治，高田镇区综合服务中心改建，镇区道路升级改造，新建高速路口门户节点标识，打造高田河一河两岸绿道，完善公共服务配套设施等</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7500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完成设计施工总承包公开招标工作、高田圩镇范围内的建筑进行环境整治和外立面整治、高田镇区综合服务中心改建</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飞来峡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49</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清远市清城区龙塘镇美丽圩镇（银盏片区）建设项目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项目主要建设银盏中心村区域及周边区域。主要内容包括优化提升路网，疏通改造雨污管网，完善消防安全设施，三线整治，综合环境提升改造以及完善充电桩、巷灯等配套设施。</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9982.61</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项目主要建设银盏中心村区域及周边区域。主要内容包括优化提升路网，疏通改造雨污管网，完善消防安全设施，三线整治，综合环境提升改造以及完善充电桩、巷灯等配套设施。</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龙塘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50</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清远市集美村生态旅游度假开发建设项目</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建设约20栋的民宿、约10亩的农家乐。</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2023-</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2024</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2500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建设约20栋的民宿、部分农家乐。</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龙塘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9" w:hRule="atLeast"/>
        </w:trPr>
        <w:tc>
          <w:tcPr>
            <w:tcW w:w="9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51</w:t>
            </w:r>
          </w:p>
        </w:tc>
        <w:tc>
          <w:tcPr>
            <w:tcW w:w="212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清远市海德外国语学校</w:t>
            </w:r>
          </w:p>
        </w:tc>
        <w:tc>
          <w:tcPr>
            <w:tcW w:w="610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该项目占地面积232亩，办学规模为幼儿园21个班、小学96个班、初中48个班，约6000个学位。</w:t>
            </w:r>
          </w:p>
        </w:tc>
        <w:tc>
          <w:tcPr>
            <w:tcW w:w="67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2020-</w:t>
            </w:r>
          </w:p>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2025</w:t>
            </w:r>
          </w:p>
        </w:tc>
        <w:tc>
          <w:tcPr>
            <w:tcW w:w="144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150000</w:t>
            </w:r>
          </w:p>
        </w:tc>
        <w:tc>
          <w:tcPr>
            <w:tcW w:w="145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88000</w:t>
            </w:r>
          </w:p>
        </w:tc>
        <w:tc>
          <w:tcPr>
            <w:tcW w:w="142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3000</w:t>
            </w:r>
          </w:p>
        </w:tc>
        <w:tc>
          <w:tcPr>
            <w:tcW w:w="606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校园土地平整及附属配套建设、室外篮球场等运动场地建设及教育教学配套设备设施购置建设。</w:t>
            </w:r>
          </w:p>
        </w:tc>
        <w:tc>
          <w:tcPr>
            <w:tcW w:w="795"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区教育局</w:t>
            </w:r>
          </w:p>
        </w:tc>
      </w:tr>
    </w:tbl>
    <w:p>
      <w:pPr>
        <w:pStyle w:val="8"/>
        <w:keepNext w:val="0"/>
        <w:keepLines w:val="0"/>
        <w:pageBreakBefore w:val="0"/>
        <w:widowControl w:val="0"/>
        <w:kinsoku/>
        <w:wordWrap/>
        <w:overflowPunct/>
        <w:topLinePunct w:val="0"/>
        <w:autoSpaceDE/>
        <w:autoSpaceDN/>
        <w:bidi w:val="0"/>
        <w:adjustRightInd/>
        <w:snapToGrid/>
        <w:spacing w:before="0" w:after="0" w:line="560" w:lineRule="exact"/>
        <w:ind w:left="0" w:right="0" w:firstLine="0" w:firstLineChars="0"/>
        <w:jc w:val="center"/>
        <w:textAlignment w:val="auto"/>
        <w:outlineLvl w:val="9"/>
        <w:rPr>
          <w:rFonts w:hint="eastAsia" w:ascii="方正小标宋简体" w:hAnsi="方正小标宋简体" w:eastAsia="方正小标宋简体" w:cs="方正小标宋简体"/>
          <w:color w:val="auto"/>
          <w:sz w:val="44"/>
          <w:szCs w:val="44"/>
          <w:highlight w:val="none"/>
          <w:lang w:eastAsia="zh-CN"/>
        </w:rPr>
      </w:pPr>
      <w:r>
        <w:rPr>
          <w:rFonts w:hint="eastAsia" w:ascii="方正小标宋简体" w:hAnsi="方正小标宋简体" w:eastAsia="方正小标宋简体" w:cs="方正小标宋简体"/>
          <w:color w:val="auto"/>
          <w:sz w:val="44"/>
          <w:szCs w:val="44"/>
          <w:highlight w:val="none"/>
        </w:rPr>
        <w:t>202</w:t>
      </w:r>
      <w:r>
        <w:rPr>
          <w:rFonts w:hint="eastAsia" w:ascii="方正小标宋简体" w:hAnsi="方正小标宋简体" w:eastAsia="方正小标宋简体" w:cs="方正小标宋简体"/>
          <w:color w:val="auto"/>
          <w:sz w:val="44"/>
          <w:szCs w:val="44"/>
          <w:highlight w:val="none"/>
          <w:lang w:val="en-US" w:eastAsia="zh-CN"/>
        </w:rPr>
        <w:t>4</w:t>
      </w:r>
      <w:r>
        <w:rPr>
          <w:rFonts w:hint="eastAsia" w:ascii="方正小标宋简体" w:hAnsi="方正小标宋简体" w:eastAsia="方正小标宋简体" w:cs="方正小标宋简体"/>
          <w:color w:val="auto"/>
          <w:sz w:val="44"/>
          <w:szCs w:val="44"/>
          <w:highlight w:val="none"/>
        </w:rPr>
        <w:t>年清城区重点建设</w:t>
      </w:r>
      <w:r>
        <w:rPr>
          <w:rFonts w:hint="eastAsia" w:ascii="方正小标宋简体" w:hAnsi="方正小标宋简体" w:eastAsia="方正小标宋简体" w:cs="方正小标宋简体"/>
          <w:color w:val="auto"/>
          <w:sz w:val="44"/>
          <w:szCs w:val="44"/>
          <w:highlight w:val="none"/>
          <w:lang w:eastAsia="zh-CN"/>
        </w:rPr>
        <w:t>前期预备</w:t>
      </w:r>
      <w:r>
        <w:rPr>
          <w:rFonts w:hint="eastAsia" w:ascii="方正小标宋简体" w:hAnsi="方正小标宋简体" w:eastAsia="方正小标宋简体" w:cs="方正小标宋简体"/>
          <w:color w:val="auto"/>
          <w:sz w:val="44"/>
          <w:szCs w:val="44"/>
          <w:highlight w:val="none"/>
        </w:rPr>
        <w:t>项目计划</w:t>
      </w:r>
    </w:p>
    <w:p>
      <w:pPr>
        <w:rPr>
          <w:rFonts w:hint="eastAsia" w:ascii="仿宋_GB2312"/>
          <w:b/>
          <w:bCs/>
          <w:color w:val="auto"/>
          <w:sz w:val="24"/>
          <w:szCs w:val="24"/>
          <w:highlight w:val="none"/>
          <w:lang w:val="en-US" w:eastAsia="zh-CN"/>
        </w:rPr>
      </w:pPr>
    </w:p>
    <w:p>
      <w:pPr>
        <w:jc w:val="left"/>
      </w:pPr>
      <w:r>
        <w:rPr>
          <w:rFonts w:hint="eastAsia" w:ascii="仿宋_GB2312" w:hAnsi="仿宋_GB2312" w:eastAsia="仿宋_GB2312" w:cs="仿宋_GB2312"/>
          <w:b/>
          <w:bCs/>
          <w:i w:val="0"/>
          <w:iCs w:val="0"/>
          <w:color w:val="auto"/>
          <w:kern w:val="0"/>
          <w:sz w:val="24"/>
          <w:szCs w:val="24"/>
          <w:u w:val="none"/>
          <w:lang w:val="en-US" w:eastAsia="zh-CN" w:bidi="ar"/>
        </w:rPr>
        <w:t>▲</w:t>
      </w:r>
      <w:r>
        <w:rPr>
          <w:rFonts w:hint="eastAsia" w:ascii="仿宋_GB2312" w:hAnsi="仿宋_GB2312" w:cs="仿宋_GB2312"/>
          <w:b/>
          <w:bCs/>
          <w:i w:val="0"/>
          <w:iCs w:val="0"/>
          <w:color w:val="auto"/>
          <w:kern w:val="0"/>
          <w:sz w:val="24"/>
          <w:szCs w:val="24"/>
          <w:u w:val="none"/>
          <w:lang w:val="en-US" w:eastAsia="zh-CN" w:bidi="ar"/>
        </w:rPr>
        <w:t xml:space="preserve">省前期预备项目  </w:t>
      </w:r>
      <w:r>
        <w:rPr>
          <w:rFonts w:hint="eastAsia" w:ascii="仿宋_GB2312" w:hAnsi="仿宋_GB2312" w:eastAsia="仿宋_GB2312" w:cs="仿宋_GB2312"/>
          <w:b/>
          <w:bCs/>
          <w:i w:val="0"/>
          <w:iCs w:val="0"/>
          <w:color w:val="auto"/>
          <w:kern w:val="0"/>
          <w:sz w:val="24"/>
          <w:szCs w:val="24"/>
          <w:u w:val="none"/>
          <w:lang w:val="en-US" w:eastAsia="zh-CN" w:bidi="ar"/>
        </w:rPr>
        <w:t>△</w:t>
      </w:r>
      <w:r>
        <w:rPr>
          <w:rFonts w:hint="eastAsia" w:ascii="仿宋_GB2312" w:hAnsi="仿宋_GB2312" w:cs="仿宋_GB2312"/>
          <w:b/>
          <w:bCs/>
          <w:i w:val="0"/>
          <w:iCs w:val="0"/>
          <w:color w:val="auto"/>
          <w:kern w:val="0"/>
          <w:sz w:val="24"/>
          <w:szCs w:val="24"/>
          <w:u w:val="none"/>
          <w:lang w:val="en-US" w:eastAsia="zh-CN" w:bidi="ar"/>
        </w:rPr>
        <w:t>市前期预备项目</w:t>
      </w:r>
      <w:r>
        <w:rPr>
          <w:rFonts w:hint="default" w:ascii="仿宋_GB2312" w:hAnsi="仿宋_GB2312" w:cs="仿宋_GB2312"/>
          <w:b/>
          <w:bCs/>
          <w:i w:val="0"/>
          <w:iCs w:val="0"/>
          <w:color w:val="auto"/>
          <w:kern w:val="0"/>
          <w:sz w:val="24"/>
          <w:szCs w:val="24"/>
          <w:u w:val="none"/>
          <w:lang w:val="en-US" w:eastAsia="zh-CN" w:bidi="ar"/>
        </w:rPr>
        <w:t xml:space="preserve">                                                                                                                            </w:t>
      </w:r>
      <w:r>
        <w:rPr>
          <w:rFonts w:hint="eastAsia" w:ascii="仿宋_GB2312"/>
          <w:b/>
          <w:bCs/>
          <w:color w:val="auto"/>
          <w:sz w:val="24"/>
          <w:szCs w:val="24"/>
          <w:highlight w:val="none"/>
          <w:lang w:val="en-US" w:eastAsia="zh-CN"/>
        </w:rPr>
        <w:t>投资单位：万元</w:t>
      </w:r>
    </w:p>
    <w:tbl>
      <w:tblPr>
        <w:tblStyle w:val="5"/>
        <w:tblW w:w="20844"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82"/>
        <w:gridCol w:w="4077"/>
        <w:gridCol w:w="5910"/>
        <w:gridCol w:w="1335"/>
        <w:gridCol w:w="5130"/>
        <w:gridCol w:w="2338"/>
        <w:gridCol w:w="11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8" w:hRule="atLeast"/>
          <w:tblHeader/>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2"/>
                <w:szCs w:val="22"/>
                <w:u w:val="none"/>
              </w:rPr>
            </w:pPr>
            <w:r>
              <w:rPr>
                <w:rFonts w:hint="eastAsia" w:ascii="黑体" w:hAnsi="黑体" w:eastAsia="黑体" w:cs="黑体"/>
                <w:b w:val="0"/>
                <w:bCs w:val="0"/>
                <w:i w:val="0"/>
                <w:iCs w:val="0"/>
                <w:color w:val="000000"/>
                <w:kern w:val="0"/>
                <w:sz w:val="22"/>
                <w:szCs w:val="22"/>
                <w:u w:val="none"/>
                <w:lang w:val="en-US" w:eastAsia="zh-CN" w:bidi="ar"/>
              </w:rPr>
              <w:t>序号</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2"/>
                <w:szCs w:val="22"/>
                <w:u w:val="none"/>
              </w:rPr>
            </w:pPr>
            <w:r>
              <w:rPr>
                <w:rFonts w:hint="eastAsia" w:ascii="黑体" w:hAnsi="黑体" w:eastAsia="黑体" w:cs="黑体"/>
                <w:b w:val="0"/>
                <w:bCs w:val="0"/>
                <w:i w:val="0"/>
                <w:iCs w:val="0"/>
                <w:color w:val="000000"/>
                <w:kern w:val="0"/>
                <w:sz w:val="22"/>
                <w:szCs w:val="22"/>
                <w:u w:val="none"/>
                <w:lang w:val="en-US" w:eastAsia="zh-CN" w:bidi="ar"/>
              </w:rPr>
              <w:t>项目名称</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2"/>
                <w:szCs w:val="22"/>
                <w:u w:val="none"/>
              </w:rPr>
            </w:pPr>
            <w:r>
              <w:rPr>
                <w:rFonts w:hint="eastAsia" w:ascii="黑体" w:hAnsi="黑体" w:eastAsia="黑体" w:cs="黑体"/>
                <w:b w:val="0"/>
                <w:bCs w:val="0"/>
                <w:i w:val="0"/>
                <w:iCs w:val="0"/>
                <w:color w:val="000000"/>
                <w:kern w:val="0"/>
                <w:sz w:val="22"/>
                <w:szCs w:val="22"/>
                <w:u w:val="none"/>
                <w:lang w:val="en-US" w:eastAsia="zh-CN" w:bidi="ar"/>
              </w:rPr>
              <w:t>建设内容及规模</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2"/>
                <w:szCs w:val="22"/>
                <w:u w:val="none"/>
              </w:rPr>
            </w:pPr>
            <w:r>
              <w:rPr>
                <w:rFonts w:hint="eastAsia" w:ascii="黑体" w:hAnsi="黑体" w:eastAsia="黑体" w:cs="黑体"/>
                <w:b w:val="0"/>
                <w:bCs w:val="0"/>
                <w:i w:val="0"/>
                <w:iCs w:val="0"/>
                <w:color w:val="000000"/>
                <w:kern w:val="0"/>
                <w:sz w:val="22"/>
                <w:szCs w:val="22"/>
                <w:u w:val="none"/>
                <w:lang w:val="en-US" w:eastAsia="zh-CN" w:bidi="ar"/>
              </w:rPr>
              <w:t>估算总投资</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2"/>
                <w:szCs w:val="22"/>
                <w:u w:val="none"/>
                <w:lang w:val="en-US" w:eastAsia="zh-CN" w:bidi="ar"/>
              </w:rPr>
            </w:pPr>
            <w:r>
              <w:rPr>
                <w:rFonts w:hint="eastAsia" w:ascii="黑体" w:hAnsi="黑体" w:eastAsia="黑体" w:cs="黑体"/>
                <w:b w:val="0"/>
                <w:bCs w:val="0"/>
                <w:i w:val="0"/>
                <w:iCs w:val="0"/>
                <w:color w:val="000000"/>
                <w:kern w:val="0"/>
                <w:sz w:val="22"/>
                <w:szCs w:val="22"/>
                <w:u w:val="none"/>
                <w:lang w:val="en-US" w:eastAsia="zh-CN" w:bidi="ar"/>
              </w:rPr>
              <w:t>2024年主要前期</w:t>
            </w:r>
          </w:p>
          <w:p>
            <w:pPr>
              <w:keepNext w:val="0"/>
              <w:keepLines w:val="0"/>
              <w:widowControl/>
              <w:suppressLineNumbers w:val="0"/>
              <w:jc w:val="center"/>
              <w:textAlignment w:val="center"/>
              <w:rPr>
                <w:rFonts w:hint="eastAsia" w:ascii="黑体" w:hAnsi="黑体" w:eastAsia="黑体" w:cs="黑体"/>
                <w:b w:val="0"/>
                <w:bCs w:val="0"/>
                <w:i w:val="0"/>
                <w:iCs w:val="0"/>
                <w:color w:val="000000"/>
                <w:sz w:val="22"/>
                <w:szCs w:val="22"/>
                <w:u w:val="none"/>
              </w:rPr>
            </w:pPr>
            <w:r>
              <w:rPr>
                <w:rFonts w:hint="eastAsia" w:ascii="黑体" w:hAnsi="黑体" w:eastAsia="黑体" w:cs="黑体"/>
                <w:b w:val="0"/>
                <w:bCs w:val="0"/>
                <w:i w:val="0"/>
                <w:iCs w:val="0"/>
                <w:color w:val="000000"/>
                <w:kern w:val="0"/>
                <w:sz w:val="22"/>
                <w:szCs w:val="22"/>
                <w:u w:val="none"/>
                <w:lang w:val="en-US" w:eastAsia="zh-CN" w:bidi="ar"/>
              </w:rPr>
              <w:t>工作内容</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2"/>
                <w:szCs w:val="22"/>
                <w:u w:val="none"/>
              </w:rPr>
            </w:pPr>
            <w:r>
              <w:rPr>
                <w:rFonts w:hint="eastAsia" w:ascii="黑体" w:hAnsi="黑体" w:eastAsia="黑体" w:cs="黑体"/>
                <w:b w:val="0"/>
                <w:bCs w:val="0"/>
                <w:i w:val="0"/>
                <w:iCs w:val="0"/>
                <w:color w:val="000000"/>
                <w:kern w:val="0"/>
                <w:sz w:val="22"/>
                <w:szCs w:val="22"/>
                <w:u w:val="none"/>
                <w:lang w:val="en-US" w:eastAsia="zh-CN" w:bidi="ar"/>
              </w:rPr>
              <w:t>建设单位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2"/>
                <w:szCs w:val="22"/>
                <w:u w:val="none"/>
              </w:rPr>
            </w:pPr>
            <w:r>
              <w:rPr>
                <w:rFonts w:hint="eastAsia" w:ascii="黑体" w:hAnsi="黑体" w:eastAsia="黑体" w:cs="黑体"/>
                <w:b w:val="0"/>
                <w:bCs w:val="0"/>
                <w:i w:val="0"/>
                <w:iCs w:val="0"/>
                <w:color w:val="000000"/>
                <w:kern w:val="0"/>
                <w:sz w:val="22"/>
                <w:szCs w:val="22"/>
                <w:u w:val="none"/>
                <w:lang w:val="en-US" w:eastAsia="zh-CN" w:bidi="ar"/>
              </w:rPr>
              <w:t>牵头单位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2"/>
                <w:szCs w:val="22"/>
                <w:u w:val="none"/>
              </w:rPr>
            </w:pP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合计（</w:t>
            </w:r>
            <w:r>
              <w:rPr>
                <w:rFonts w:hint="default" w:ascii="仿宋_GB2312" w:hAnsi="宋体" w:eastAsia="仿宋_GB2312" w:cs="仿宋_GB2312"/>
                <w:b/>
                <w:bCs/>
                <w:i w:val="0"/>
                <w:iCs w:val="0"/>
                <w:color w:val="000000"/>
                <w:kern w:val="0"/>
                <w:sz w:val="22"/>
                <w:szCs w:val="22"/>
                <w:u w:val="none"/>
                <w:lang w:val="en-US" w:eastAsia="zh-CN" w:bidi="ar"/>
              </w:rPr>
              <w:t>5</w:t>
            </w:r>
            <w:r>
              <w:rPr>
                <w:rFonts w:hint="eastAsia" w:ascii="仿宋_GB2312" w:hAnsi="宋体" w:eastAsia="仿宋_GB2312" w:cs="仿宋_GB2312"/>
                <w:b/>
                <w:bCs/>
                <w:i w:val="0"/>
                <w:iCs w:val="0"/>
                <w:color w:val="000000"/>
                <w:kern w:val="0"/>
                <w:sz w:val="22"/>
                <w:szCs w:val="22"/>
                <w:u w:val="none"/>
                <w:lang w:val="en-US" w:eastAsia="zh-CN" w:bidi="ar"/>
              </w:rPr>
              <w:t>2项）</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2"/>
                <w:szCs w:val="22"/>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lang w:val="en-US" w:eastAsia="zh-CN"/>
              </w:rPr>
            </w:pPr>
            <w:r>
              <w:rPr>
                <w:rFonts w:hint="eastAsia" w:ascii="仿宋_GB2312" w:hAnsi="宋体" w:eastAsia="仿宋_GB2312" w:cs="仿宋_GB2312"/>
                <w:b/>
                <w:bCs/>
                <w:i w:val="0"/>
                <w:iCs w:val="0"/>
                <w:color w:val="000000"/>
                <w:sz w:val="22"/>
                <w:szCs w:val="22"/>
                <w:u w:val="none"/>
                <w:lang w:val="en-US" w:eastAsia="zh-CN"/>
              </w:rPr>
              <w:t>2888807</w:t>
            </w:r>
            <w:r>
              <w:rPr>
                <w:rFonts w:hint="default" w:ascii="仿宋_GB2312" w:hAnsi="宋体" w:eastAsia="仿宋_GB2312" w:cs="仿宋_GB2312"/>
                <w:b/>
                <w:bCs/>
                <w:i w:val="0"/>
                <w:iCs w:val="0"/>
                <w:color w:val="000000"/>
                <w:sz w:val="22"/>
                <w:szCs w:val="22"/>
                <w:u w:val="none"/>
                <w:lang w:val="en-US" w:eastAsia="zh-CN"/>
              </w:rPr>
              <w:t>.48</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2"/>
                <w:szCs w:val="22"/>
                <w:u w:val="none"/>
              </w:rPr>
            </w:pP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1086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基础设施工程（13项）</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lang w:val="en-US" w:eastAsia="zh-CN"/>
              </w:rPr>
            </w:pPr>
            <w:r>
              <w:rPr>
                <w:rFonts w:hint="default" w:ascii="仿宋_GB2312" w:hAnsi="宋体" w:eastAsia="仿宋_GB2312" w:cs="仿宋_GB2312"/>
                <w:b/>
                <w:bCs/>
                <w:i w:val="0"/>
                <w:iCs w:val="0"/>
                <w:color w:val="000000"/>
                <w:sz w:val="22"/>
                <w:szCs w:val="22"/>
                <w:u w:val="none"/>
                <w:lang w:val="en-US" w:eastAsia="zh-CN"/>
              </w:rPr>
              <w:t>442854.85</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2"/>
                <w:szCs w:val="22"/>
                <w:u w:val="none"/>
              </w:rPr>
            </w:pP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1</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国道G107线清城新基至国泰段改建工程▲</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全长约8.33km,采用一级公路标准设计，设计速度60km/h，双向六车道+两辅道，路基标准宽度45m，沥青混凝土路面,</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71100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清远市清城区公路事务中心</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区公路事务中心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2</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省道S252线清城榨油岭至金三角段改建工程▲</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项目全长7.031公里，双向四车道，路基宽22.5米，技术标准采用一级公路,设计速度为60Km/h，水泥混凝土路面，桥涵设计汽车荷载为公路-I级。</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50193</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清远市清城区公路事务中心</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区公路事务中心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4"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3</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华润清远清城高扬风电场项目△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新建风力发电机组及相关配设施，装机容量100MW</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81900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华润电力新能源投资有限公司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飞来峡镇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4"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4</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广清经济特别合作区源潭大龙简带工业园基础设施建设项目△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符合广东省“十四五”规划布局。大龙简带工业园区项目主要开展工业园区的建设工作，引进高端产业项目，占地约900亩，主要建设内容包括新建道路9段，总计道路长度约7公里、新建路灯工程550盏、新铺设电力工程约7公里、给排水管网20公里、燃气工程dn200管800米、供水站1个、充电桩约30个、物流中转站1个等基础设施和周边电力设施建设。</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98149.28</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广清经济特别合作区源潭大龙简带基础工业园设施建设项目</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源潭镇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2"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5</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国家管网集团广东省天然气管网国能石角专线项目△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项目管道设计年输量6.24亿方/年，设计压力9.2兆帕和6.3兆帕，项目包括：改建石角阀室1座；新建石角分输站1座；新建石角电厂末站一座。管道全长约9.13km。</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15613</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国家管网集团广东省管网有限公司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石角镇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2"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6</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清远港清远港区回岐正隆码头一期工程后方带式输送机系统建设工程项目△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总体布置：廊道总长约2.6km，其中码头距离中转堆场距离约1.6km，中转堆场距离矿区约1km；2、廊道及转运站：设4组皮带机（含预留）；皮带机带宽2.2m，廊道宽7.9m（外轮廓），层高2.9m，廊道架空宜满足下方道路行驶需求，不宜低于5m；转运站平面尺寸19m*19m，其征地平面投影尺寸暂按20m*20m确定；廊道采用封闭措施，减少对外界影响；3、廊道栈桥结构：栈桥支座承台采用桩基承台结构，上设立柱和栈桥支座；廊道栈桥采用钢结构桁架，以满足大跨度需求。</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28000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清远市正隆矿业有限公司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石角镇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45"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7</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大唐清远清城区飞来峡镇复合型光伏项目(一期）△</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拟利用飞来峡镇辖区内石梨村、潖江口村等区域及周边一般农用地约3200亩，采用高效晶硅组件，建设复合型光伏发电项目，装机容量200MW，新建变电站一座，预计年发电量约2亿千瓦时，项目发电量全额上网，就近接入南方电网。</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10500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大唐（连州）新能源有限公司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飞来峡镇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39"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8</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国能清城区飞来峡镇100MW农光互补光伏发电项目（一期43MW）△</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拟在清城区飞来峡镇潖江口村，利用约642亩土地，建设43MW农光互补光伏发电项目，项目光伏组件距离地面不低于2.5米，采用550Wp单晶硅双面组件，拟以110kV电压等级接入当地电网，使光伏与种植业、养殖业有机融合。项目主要设备有晶体硅光伏组件、逆变器、箱式变压器等，项目总投资约1.96亿元，年发电量约4193万千瓦时。组件下面约600亩用于种植淀粉类农作物、蔬菜、菌菇、药材等农作物，农业年产值约100万元。</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19600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国能（广东）综合能源有限公司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飞来峡镇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2"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1"/>
                <w:szCs w:val="21"/>
                <w:u w:val="none"/>
                <w:lang w:val="en-US" w:eastAsia="zh-CN" w:bidi="ar"/>
              </w:rPr>
            </w:pPr>
            <w:r>
              <w:rPr>
                <w:rFonts w:hint="eastAsia" w:ascii="仿宋_GB2312" w:hAnsi="宋体" w:eastAsia="仿宋_GB2312" w:cs="仿宋_GB2312"/>
                <w:b/>
                <w:bCs/>
                <w:i w:val="0"/>
                <w:iCs w:val="0"/>
                <w:color w:val="000000"/>
                <w:kern w:val="0"/>
                <w:sz w:val="21"/>
                <w:szCs w:val="21"/>
                <w:u w:val="none"/>
                <w:lang w:val="en-US" w:eastAsia="zh-CN" w:bidi="ar"/>
              </w:rPr>
              <w:t>9</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清远市清城区职教城地块电网侧独立储能电站项目△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规划用地面积约40亩，项目储能系统按照100MW/200MWh进行配置，含31套储能电池预制舱和30套PCS及升压变成套装置，升压站生产综合楼、无功补偿区三部分及基础配套设施，主要建设储能电池室、集控室、配电室、升压站、办公楼、值班室和其它附属运营设施等。项目利用储能电池对电能进行存储，按照电网需求进行调用。</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29624.42</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北控（清远）电力有限公司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东城街办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7"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1"/>
                <w:szCs w:val="21"/>
                <w:u w:val="none"/>
                <w:lang w:val="en-US" w:eastAsia="zh-CN" w:bidi="ar"/>
              </w:rPr>
            </w:pPr>
            <w:r>
              <w:rPr>
                <w:rFonts w:hint="eastAsia" w:ascii="仿宋_GB2312" w:hAnsi="宋体" w:eastAsia="仿宋_GB2312" w:cs="仿宋_GB2312"/>
                <w:b/>
                <w:bCs/>
                <w:i w:val="0"/>
                <w:iCs w:val="0"/>
                <w:color w:val="000000"/>
                <w:kern w:val="0"/>
                <w:sz w:val="21"/>
                <w:szCs w:val="21"/>
                <w:u w:val="none"/>
                <w:lang w:val="en-US" w:eastAsia="zh-CN" w:bidi="ar"/>
              </w:rPr>
              <w:t>10</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清远市清城区美湖西路道路工程△</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位于石角镇美林湖附近，起点接S253，终点接美林湖大道，为城市次干路，路线全长约2.5km，规划路线宽30m，双向四车道。项目建设用地面积约131亩（约87450平方米），实际须使用面积约203亩（约135622平方米，包含因高差须放坡区域以及建设用地范围）。</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29034.92</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区代建中心</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区代建中心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2"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1"/>
                <w:szCs w:val="21"/>
                <w:u w:val="none"/>
                <w:lang w:val="en-US" w:eastAsia="zh-CN" w:bidi="ar"/>
              </w:rPr>
            </w:pPr>
            <w:r>
              <w:rPr>
                <w:rFonts w:hint="eastAsia" w:ascii="仿宋_GB2312" w:hAnsi="宋体" w:eastAsia="仿宋_GB2312" w:cs="仿宋_GB2312"/>
                <w:b/>
                <w:bCs/>
                <w:i w:val="0"/>
                <w:iCs w:val="0"/>
                <w:color w:val="000000"/>
                <w:kern w:val="0"/>
                <w:sz w:val="21"/>
                <w:szCs w:val="21"/>
                <w:u w:val="none"/>
                <w:lang w:val="en-US" w:eastAsia="zh-CN" w:bidi="ar"/>
              </w:rPr>
              <w:t>11</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清远市天然气利用工程项目二期环线工程项目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本工程范围包含管线工程（新建1条次高压管线，即清远天然气门站至清港线的次高压供气管道）和场站工程（改扩建清远门站，即新增工艺撬1座，同时利用门站北侧代征地新增加热装置1套）。其中门站改扩建范围为清远门站新增的工艺、自控、供配电、给排水、结构、总平面布置等。管道全长约7.41km，管道管径D406.4mm，设计压力1.6MPa。站内新增工艺设备撬1座，加热装置1套，计划建设工期为2023年3月至2024年12月。</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4700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清远中石油昆仑燃气有限公司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源潭镇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2"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1"/>
                <w:szCs w:val="21"/>
                <w:u w:val="none"/>
                <w:lang w:val="en-US" w:eastAsia="zh-CN" w:bidi="ar"/>
              </w:rPr>
            </w:pPr>
            <w:r>
              <w:rPr>
                <w:rFonts w:hint="eastAsia" w:ascii="仿宋_GB2312" w:hAnsi="宋体" w:eastAsia="仿宋_GB2312" w:cs="仿宋_GB2312"/>
                <w:b/>
                <w:bCs/>
                <w:i w:val="0"/>
                <w:iCs w:val="0"/>
                <w:color w:val="000000"/>
                <w:kern w:val="0"/>
                <w:sz w:val="21"/>
                <w:szCs w:val="21"/>
                <w:u w:val="none"/>
                <w:lang w:val="en-US" w:eastAsia="zh-CN" w:bidi="ar"/>
              </w:rPr>
              <w:t>12</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清城区飞来峡镇高田圩排灌站工程</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新建高田电排站进水前池、泵房、自排涵闸、压力涵管、外江防洪闸、管理房、消力池及外江输水渠道等。</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1560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清远市清城区飞来峡镇人民政府</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飞来峡镇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2"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1"/>
                <w:szCs w:val="21"/>
                <w:u w:val="none"/>
                <w:lang w:val="en-US" w:eastAsia="zh-CN" w:bidi="ar"/>
              </w:rPr>
            </w:pPr>
            <w:r>
              <w:rPr>
                <w:rFonts w:hint="eastAsia" w:ascii="仿宋_GB2312" w:hAnsi="宋体" w:eastAsia="仿宋_GB2312" w:cs="仿宋_GB2312"/>
                <w:b/>
                <w:bCs/>
                <w:i w:val="0"/>
                <w:iCs w:val="0"/>
                <w:color w:val="000000"/>
                <w:kern w:val="0"/>
                <w:sz w:val="21"/>
                <w:szCs w:val="21"/>
                <w:u w:val="none"/>
                <w:lang w:val="en-US" w:eastAsia="zh-CN" w:bidi="ar"/>
              </w:rPr>
              <w:t>13</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国家城乡融合发展试验区清城区产业园区基础设施建设项目-石角镇岩东二街道路建设工程</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该项目位于清城区石角镇广清中大时尚科技城地块与天安智谷地块之间，规划总占地面积约13.8亩，长约450米，宽约20米，建设内容包括：道路工程、给排水工程、管线综合工程、照明工程等。</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2880.23</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区代建中心</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区代建中心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086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产业工程（27项）</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lang w:val="en-US" w:eastAsia="zh-CN"/>
              </w:rPr>
            </w:pPr>
            <w:r>
              <w:rPr>
                <w:rFonts w:hint="default" w:ascii="仿宋_GB2312" w:hAnsi="宋体" w:eastAsia="仿宋_GB2312" w:cs="仿宋_GB2312"/>
                <w:b/>
                <w:bCs/>
                <w:i w:val="0"/>
                <w:iCs w:val="0"/>
                <w:color w:val="000000"/>
                <w:sz w:val="22"/>
                <w:szCs w:val="22"/>
                <w:u w:val="none"/>
                <w:lang w:val="en-US" w:eastAsia="zh-CN"/>
              </w:rPr>
              <w:t>17</w:t>
            </w:r>
            <w:r>
              <w:rPr>
                <w:rFonts w:hint="eastAsia" w:ascii="仿宋_GB2312" w:hAnsi="宋体" w:eastAsia="仿宋_GB2312" w:cs="仿宋_GB2312"/>
                <w:b/>
                <w:bCs/>
                <w:i w:val="0"/>
                <w:iCs w:val="0"/>
                <w:color w:val="000000"/>
                <w:sz w:val="22"/>
                <w:szCs w:val="22"/>
                <w:u w:val="none"/>
                <w:lang w:val="en-US" w:eastAsia="zh-CN"/>
              </w:rPr>
              <w:t>34483</w:t>
            </w:r>
            <w:r>
              <w:rPr>
                <w:rFonts w:hint="default" w:ascii="仿宋_GB2312" w:hAnsi="宋体" w:eastAsia="仿宋_GB2312" w:cs="仿宋_GB2312"/>
                <w:b/>
                <w:bCs/>
                <w:i w:val="0"/>
                <w:iCs w:val="0"/>
                <w:color w:val="000000"/>
                <w:sz w:val="22"/>
                <w:szCs w:val="22"/>
                <w:u w:val="none"/>
                <w:lang w:val="en-US" w:eastAsia="zh-CN"/>
              </w:rPr>
              <w:t>.79</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2"/>
                <w:szCs w:val="22"/>
                <w:u w:val="none"/>
              </w:rPr>
            </w:pP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7"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14</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农腾电商产业园孵化基地项目△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规划用地面积28669.45平方米（约合43亩），总建筑面积91166.00平方米，其中科技创业开发办公楼46326.00㎡，新型研发楼1960.00㎡，创新发展开发楼1960.00㎡，创新培训开发办公980.00㎡，综合科技服务楼1960.00㎡，科技企业培训中心2700.00㎡，创新服务培育中心2412.00㎡，研讨办公楼1292.00㎡，招商引资办公楼1376.00㎡，宿舍楼10700.00㎡，地下停车库面积为19500.00㎡。</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清远市新三顺数字科技有限公司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东城街办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2"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15</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兴海（清远）产业园200MW/400MWh新型独立储能电站项目△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选址于清远市清城区石角镇清远市兴海铜业有限公司园区内，规划用地面积约56亩，总投资9亿元。项目拟分两期建设：一期总投资4.5亿元，用地约25亩，主要建设包括建设控制中心、110kV升压站1座和储能系统(含1套EMS 集控箱、40套PCS升压一体机、40套电池系统集装箱)；二期总投资4.5亿元，用地约25亩，主要建设储能系统(含1套EMS 集控箱、40套PCS升压一体机、40套电池系统集装箱)。项目利用储能电池对电能进行存储，按照电网需求进行调用。项目建成达产后，年均放电量约为14500万kwh，年充电量约为16000万kwh，平均每年充放电次数600次。预计年产值不低于34000万元，预计年纳税不低于1704万元。</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90000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清远建兴利能新能源有限公司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石角镇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7"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建筑工业化智能科技园▲</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建设装配式建筑智慧智造基地，绿色建筑、建筑工业化工程技术研究中心等。</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广东省建筑工程集团有限公司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飞来峡镇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1"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17</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清远市中鑫智慧物流产业园项目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打造数字化、智能化、网联化、人货场供需一体化的现代智慧物流及云仓示范园区，构建高效智慧的“店+仓+链”一体化电商物流与全供应链服务体系，建成集电商仓储、电商运输、电商城配、中转集拼、公铁空水多式联运中心和流通加工、仓储采集分销和供应链金融等配套服务为一体的综合智慧型电商物流产业园区。</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建筑面积133000㎡。</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49000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广东中鑫供应链有限公司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源潭镇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53"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清远兆兴农业科技开发有限公司柏嘉观光果园农光互补项目△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本项目建设120MWp农光互补光伏电站，并根据光伏额定装机容量配置10MWh储能.总占地1500亩，新建一座110kv升压站，项目运行25年，年发电量约1.4亿千瓦时，平价上网消纳。农业：水产养殖：200亩、园林苗木种植600亩，清远鸡为主的畜禽养殖300亩，瓜果蔬菜种植370亩，食用菌种植30亩。</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56000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清远兆兴农业科技开发有限公司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源潭镇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64"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19</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广东弘腾自动化科技有限公司先进智能机电设备（清远）科技产业园建设项目△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由广东弘腾自动化科技有限公司投资建设，位于清城区源潭镇连安村辖区范围内，项目占地面积108304.3平方米，项目主要生产电梯的轿厢、层门、轿厢架、对重等配件。建成达产后，年产机械部件4000箱、装饰部件3000箱、安装部件2000箱、钣金部件20000吨、装饰板材80000吨，预计年产值107671万元(663万元/亩），年纳税4872万元（30万/亩）。</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49000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广东弘腾自动化科技有限公司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源潭镇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13"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广东丽彦妆智造生物科技有限公司年产冻干粉1亿盒、面膜5000万盒和护肤品3000万盒建设项目△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丽彦妆智造生物科技有限公司年产冻干粉1亿盒、面膜5000万盒和护肤品3000万盒建设项目，厂址选址于广东省清远市清城区石角镇循环经济产业园6号（中大时尚科技城：61#-63#楼），项目总占地面积6934平方米（折合10.4亩），建筑面积43657平方米，预计总投资21000万元，其中建设投资15500万，设备投资5000万，占项目总投资97.6%，流动资金500万元，占总投资的2.4%。</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广东云尚智城集团有限公司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石角镇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50"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广东谐达轻工实业有限公司项目△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选址于广东省清远市清城区石角镇循环经济产业园6号（中大时尚科技城：15#楼），主要从事金属制品和皮革制品的生产，年产8000万件小金属配件、2000万件皮牌和皮标；项目总占地面积2.16亩（1438.92平方米），建筑面积10559.11平方米，预计总投资10000万元，建设期限2年， 投产后提供就业岗位200人。</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广东谐达实业有限公司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石角镇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7"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22</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清远润捷科技有限公司年产日用塑料泵36000万支项目△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计划用地10亩，总建筑面积9800平方米，建设生产厂房、研发中心、综合办公楼、仓库等配套设施。主要从事洗发水、护发素、洗衣液、洗浩精等洗护用品的配套包材泵头生产和研发。建成达产后，年产量6000万支。主要设备为注塑机及组装机；技术标准达到国家标准。/计划用地36亩，总建筑面积约59800平方米，建设生产厂房，研发中心，综合办公楼，仓库等配套设施。主要从事洗发水，沐浴露，护发素，洗衣液，洗洁精等洗护用品的配套包材泵头生产和研发。建成达产后，年产量21000万支。主要设备为注塑机及组装机；技术标准达到国家标准。</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清远润捷科技有限公司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石角镇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3"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23</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清远市远讯铜材有限公司年产18万吨无氧铜杆增资扩产项目△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mm无氧铜杆生产线，设计生产能力18万吨/年，总占地面积46666.67平方米，项目拟建设生产厂房、拉丝厂房、仓库等；配套设施办公大楼、宿舍、生活区域、环保设施、用水用电设施等；总建筑面积27300平方米（计容面积约47000平方米）。项目拟建设环保、节能的主要产生设备竖式熔铜炉、铜杆连铸连轧生产线及拉丝机等。</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30000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清远市远讯铜材有限公司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石角镇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53"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24</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广东远光电缆实业有限公司生产基地迁建项目△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主要建设综合楼、综合车间、电缆车间、熔轧特导车间、盘具车间等。主要生产超特高压输电线路用导线（含架空绝缘电缆）、中低压电缆（含特种防火电缆、控制电缆、军用特种线缆）、布电线、新能源汽车专用电线等，年生产能力382150km/年，主要设备：塑料挤出机、铝拉丝机、铜小拉机、铜中拉机、铜大拉机、成缆机、绞线机、交联机、铝/铝合金连铸连轧生产设备等。</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87000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广东远光电缆实业有限公司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横荷街办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4"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25</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九融汇金融产业集群创新服务基地建设项目△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金融、EPE投资、金融创新科技产业等方面的投资优势，在清远互联网+创新产业园投资九融汇金融产业集群创新基地 ，通过引入金融及金融科技创新及服务企业 ，推动清远金融产业创新集聚，形成浓厚的金融产业氛围，服务和促进当地社会经济发展。</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27000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广东嘉福创新投资有限公司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东城街办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1"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26</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广东嘉晟金服科技有限公司科创产业园△</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 xml:space="preserve"> 项目规划用地面积28669.45平方米（约合43亩），总建筑面积91166.00平方米，其中科技创业开发办公楼46326.00㎡，新型研发楼1960.00㎡，创新发展开发楼1960.00㎡，创新培训开发办公980.00㎡，综合科技服务楼1960.00㎡，科技企业培训中心2700.00㎡，创新服务培育中心2412.00㎡，研讨办公楼1292.00㎡，招商引资办公楼1376.00㎡，宿舍楼10700.00㎡，地下停车库面积为19500.00㎡。</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34400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广东嘉晟金服科技有限公司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东城街办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1"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27</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京东清远智能供应链运营中心项目△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着力打造京东电商聚集园区，供应商运营配送中心和智慧物流示范基地。2022年7月6日，针对YTW02-0205地块召开的广清空港现代物流产业新城2022年第一批次招商引资项目评审会圆满结束，经专家组综合评估，综合评估第一名的项目是北京京东世纪贸易有限公司的京东清远智能供应链运营中心项目。项目规划总建面不少于15万㎡，容积率＞2.0，总投资约7亿元，预计达产期贡献本地结算销售额约70-80亿元/年，预计达产期后亩均税收贡献约为30万元/亩。</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70000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北京京东世纪贸易有限公司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源潭镇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7"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28</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电线电缆智能制造项目（新亚光）</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利用原有的配套设施，占地面积24660平方米，建筑总面积30260平方米，主要建设三座厂房和一个仓库，引进国内外先进的软硬件设备，如双头铜大拉机、多头中小拉、框绞机、高速成缆机、2500盘绞机、钢丝铠装机、氩弧焊机、金属挤压设备、矿物绝缘（BTTZ）生产设备、智能化高速挤塑生产线、智能化塑料生产线（PVC、WD）、智能仓储设备等，以及安全生产智能监控系统软件。项目将新增电力电缆和家装及电气装备用电线电缆产品生产线，扩充电力电缆和家装及电气装备用电线电缆产品的产能，项目设计低压电力电缆产能7200km，布电线及装备用电线电缆140,000km，控制电缆10,000km。</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25040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凤城街办</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凤城街办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28"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清远市清城区源潭镇青龙深木窿建筑用花岗岩矿投资项目△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省清远市清城区源潭镇深木窿矿区建筑用花岗岩矿位于清远市清城区源潭镇，本项目由清远市泓远矿业有限公司竞得，预计项目总投资约15亿元，项目矿区面积0.7167平方公里，开采区范围内评估利用储量为建筑用花岗岩6974.84万立方米，砂质高岭土145.09万立方米，全风化花岗岩矿129.08万立方米，半风化花岗岩551.81万立方米，残破积层18.34万立方米，填土48.38万立方米。设计矿山生产规模为300万立方米/年，出让年限21年8个月（含基建期）。</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150000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清远市泓远矿业有限公司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源潭镇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38"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30</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广东省清远市清城区源潭镇高山寨矿区建筑用花岗岩矿投资新建项目△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生产规模：260万立方米/年。产品：建筑用规格碎石及副产品。工艺：矿山采用由上而下，分水平台阶山坡型滚动式露天开采。台阶高度为8-15米，矿山采用140毫米潜孔钻机开凿炮孔，采用深孔多排孔微差挤压爆破，挖掘机车，60吨装载车运输破碎采用三段一闭路破碎流程，机制砂采用制砂机闭路，水洗砂采用两段开路到制砂机，然后经过洗沙车间的工艺。半风化层采用一段破碎加工块石。</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136603</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清远市德溢矿产资源开发有限公司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源潭镇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2"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31</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广东烟草清远市有限公司易地新建卷烟物流配送中心项目△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按年分拣配送卷烟14.67万箱、仓储量控制上限9417箱进行规划设计，根据项目需要和用地规划要求，项目的主要建设内容如下：</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（1）项目购置建设用地32.37亩（21584㎡）。总用地面积控制上限37亩（24667㎡）。</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（2）新建联合工房8778㎡、生产管理及生活辅助用房4154㎡、门卫房100.00㎡、地下车库5200㎡。</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（3）新购置2条16000条/小时的标细中短合一分拣线，利旧升级改造1条分拣能力3500条/时特异型烟分拣线，配置三层横梁货架仓储物流设备和备货系统设备。</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（4）配套建设公用动力设施、网络及信息化系统。</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（5）配套建设场地整理、土石方工程、地下车库、道路广场、围墙、绿化及室外管网等配套工程。</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20201</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广东烟草清远市有限公司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凤城街办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3"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32</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联丰(华南)冷链食品智慧物流产业园项目△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位于清远市清城区源潭镇陶瓷工业园（虾仔塘石场），规划用地面积约750亩，规划总建筑面积约80万平方米。项目整体定位为“南中国预制菜全产业链产品集散中心”、“大湾区最大的空运食品、特殊及滋补食品集散中心”和“大湾区最大的特色农产品数字化集散中心”等三大集散中心的华南地区农副产品与进口食品智慧物流产业园。</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200000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广东品珍控股集团有限公司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源潭镇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5"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33</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广东隆达铝业有限公司年产10万吨汽车轻量化绿色合金材料项目△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本项目规划用地面积48306.96㎡（约72.46亩），，为预留规划用地总建筑面积52240.00㎡，其中包括1栋生产车间20992㎡、1栋原料车间9600㎡、1栋浮选车间16320㎡、1栋辅助车间5200㎡、1栋配电房128㎡以及循环水处理系统、废气处理系统、供热系统、消防设施等其他配套附属设施。</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35280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广东隆达铝业有限公司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石角镇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8"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34</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清远市华胜新能源科技有限公司-清城区石角90MW渔光互补项目△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规划建设90MV渔光互补项目，采用渔业与光伏相结合技术，包含发电场、升压站、配电室、输电外线接网工程。装机容量100MWp。</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45000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清远市华胜新能源科技有限公司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石角镇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8"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35</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广州市名俐日用化工有限公司年产牙膏2万吨及漱口水2万吨生产线项目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由广州市名俐日用化工有限公司投资建设，选址于清远市清城区石角镇界牌村委辖区内，规划用地面积36亩，计划总投资23757万元，主要建设办公楼、厂房、研发中心、仓储及相关配套设施，主要生产牙膏、漱口水等日化产品。项目建成达产后预计年产值3.5亿元，预计年纳税1354万元。</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23757</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广州市名俐日用化工有限公司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石角镇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88"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36</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广东雄星新材料有限公司年产6.3万吨PVC压延膜扩建项目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本次扩建主要根据项目厂区实际建设情况及产品需求，在现有厂区内扩建两栋生产厂房、消控室、消防水池、污水处理池，新增七条压延膜生产线以及配套建设相应的废气治理设施。本次扩建总用地面积约33300平方米（约50亩），基底面积为21215.19平方米（约31.82亩），建筑面积为28462.1平方米，其中包括厂房1（9997.75平方米）、厂房2（18035.68平方米）、消控室（59.163平方米）、消防水池（303.51平方米）、污水处理池（66平方米）。本次扩建项目建成后满负荷生产规模将达到6.3万吨PVC压延膜。</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20002.79</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广东雄星新材料有限公司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源潭镇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8"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37</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清远市清城区飞来峡镇番瓜岭建筑用花岗岩矿项目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该项目总用地面积约1334.208亩,其中采矿区面积约1246.49亩，加工区面积约68.8925亩，生活区面积约9.45亩，运输道路区面积约9.3755亩，拟开采标高+199.3m～+0.00m，开采矿种为建筑用花岗岩，开采方式为露天开采。初步估算矿区范围内资源储量约5600万立方米（属大型），生产规模300万立方米/年。</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100000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飞来峡镇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16"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38</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清远市清城区飞来峡镇车坳建筑用花岗岩矿项目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该项目总用地面积约3182亩,开采标高+400米至+125米，开采矿种为建筑用花岗岩，开采方式为露天开采。初步估算矿区范围内资源储量约16000万立方米（属大型），生产规模1000万立方米/年。</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100000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飞来峡镇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4"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39</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清远市清城区飞来峡镇黄洞建筑用花岗岩矿项目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行政区划隶属清城区飞来峡镇管辖，采矿区面积0.466km2（约699亩），运输道路0.0075km2（约11.2亩），加工区面积0.0396km2（约59.5亩），生活区面积0.0061km2（约9.1亩），拟开采标高+186m～+15m，开采矿种为建筑用花岗岩，开采方式为露天开采。初步估算矿区范围内资源储量约4200万立方米（属中型），生产规模300万立方米/年。</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90000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广东华浙新材料有限公司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飞来峡镇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5"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40</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司美格鲁肽注射液研究开发项目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本项目以自主研发为主，对司美格鲁肽菌种的选育培养、发酵工艺进行研究。项目用地将用于司美格鲁肽的车间建设、员工配套的生活区建设。</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22200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丽珠集团新北江制药股份有限公司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石角镇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086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民生保障工程（12项）</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lang w:val="en-US" w:eastAsia="zh-CN"/>
              </w:rPr>
            </w:pPr>
            <w:r>
              <w:rPr>
                <w:rFonts w:hint="default" w:ascii="仿宋_GB2312" w:hAnsi="宋体" w:eastAsia="仿宋_GB2312" w:cs="仿宋_GB2312"/>
                <w:b/>
                <w:bCs/>
                <w:i w:val="0"/>
                <w:iCs w:val="0"/>
                <w:color w:val="000000"/>
                <w:sz w:val="22"/>
                <w:szCs w:val="22"/>
                <w:u w:val="none"/>
                <w:lang w:val="en-US" w:eastAsia="zh-CN"/>
              </w:rPr>
              <w:t>711468.84</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2"/>
                <w:szCs w:val="22"/>
                <w:u w:val="none"/>
              </w:rPr>
            </w:pP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b/>
                <w:bCs/>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41</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清远市清城区养老服务中心建设项目△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总用地面积约21045.90平方米，建筑基底面积约6839.31平方米，总建筑面积约33560.71平方米，增加养老床位800个。主要内容包括新建颐养楼、综合楼，老年人医疗康复中心、活动中心、食堂等洗衣房，电房，门卫，地下室及连廊。配套建设停车位130个。</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19993.42</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清远市清城区民政局</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区民政局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42</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中宿新区</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项目集科普、种植、康养、休闲度假酒店为一体。主要包括田园综合体、康养区域、乡村民宿、养生餐饮、湿地公园、农业公园、森林公园、停车场、服务中心及文化博物馆等项目。</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100000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广东晋福生态旅游发展有限公司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飞来峡镇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6"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43</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清远市和秧合社农旅项目△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依托粤港澳大湾区核心市场优势，结合、发挥、赋能清远本地优势农业品牌，打造一个集合田园观光、智慧农业、教育研学、亲子休闲、主题度假、双创市集于一体的综合型乡村振兴农旅融合与创新孵化项目，以旅促农，科技助农，打造清远乡村振兴与农旅融合的样板，带动清远乡村发展与共同富裕。</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50000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sz w:val="21"/>
                <w:szCs w:val="21"/>
                <w:u w:val="none"/>
              </w:rPr>
              <w:t>广东粤清农文旅有限公司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东城街办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5"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44</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清远市清城区松苏岭中学（暂名）建设项目△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项目选址于清城区东城大道中南侧松苏岭旁。占地面积86.72亩，规划设计办学规模为60个班、3000个学位。项目总投资约2.5亿元。</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25000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清远市清城区教育局、清城区代建项目管理中心</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区教育局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8"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45</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清远市清城区松苏岭小学（暂名）建设项目△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项目选址于清城区东城大道中南侧松苏岭旁。占地面积50.76亩，规划设计办学规模为48个班、2160个学位。项目总投资约1.96亿元。</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19600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清远市清城区教育局、清城区代建项目管理中心</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区教育局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3"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46</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清城区奥体小学（暂名）建设项目△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项目位于清远市清城区东城街道奥体地块AT05-0401，项目占地38476.81平方米（折合57.71亩），设计办学规模为48个班，2160个学位，项目总投资约1.3亿元。</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13000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清远市清城区教育局、清城区代建项目管理中心</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区教育局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9"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47</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中共清远市清城区委党校建设项目△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一栋7层清城区委党校综合楼、一栋7层清城区老干部大学综合大楼、一栋1层600人阶梯式报告厅、一栋8层学员餐厅宿舍楼，一层地下室，以及校内道路、室外广场绿化及运动场等附属设施，总建筑面积约30835㎡。附属工程包含：电气照明工程、给排水工程、空调与通风工程，消防工程、建筑弱电智能化系统工程、厨房工程等。</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27175.29</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清城区委党校</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清城区委党校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48</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飞来峡工程涉及群众搬迁安置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主要内容包括搬迁安置、经济发展基金、生态环境整治、房屋鉴定和补强加固、航道两岸堤坝及北江黄洞堤围基础配套设施建设、拓宽黄洞灌溉水渠、建设跨线高架桥项目。</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48500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清远市清城区飞来峡镇人民政府</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飞来峡镇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94"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49</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月亮湖温泉文化旅游度假区</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兴建月亮湖温泉文化旅游度假区，以当地独特拥有的 78℃的高热泉特色泉眼，以及丰富的矿物质资源为依托 ，打造一个具 有国际现代化生态旅游特色的国家 AAAAA 级度假区，集温泉、旅游、 康养、运动、科技、休闲、娱乐 、文化、教育、科普、地产、商务、 美食等于一体的深度全域旅游产业链。</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318400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广东新功集团有限公司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飞来峡镇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9"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50</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清城区龙塘镇卫生院新院建设项目</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初步方案总用地面积13495.98㎡，合20.24亩,总建筑面积17658.62㎡，容积率1.01，绿地率39.47%，建筑密度25.19%，床位数143床，配置机动车停车位130个，其中地上39个，地下91个。地上总建筑面积13005.08㎡，地下总建筑面积4653.54㎡，其中地上共设置6栋建筑，分别为综合楼、发热门诊、后勤用房、门卫房、储氧房等</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12800.13</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龙塘镇</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龙塘镇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4"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51</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天子山旅游度假区一期</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项目总面积12000亩，规划建设用地总面积601亩，建设内容为农产品交易市场、商业街、会议中心、红色文化展览馆、书屋、生态停车场、党建中心、酒店民宿、娱乐场馆等，第一期建设规模357亩。</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52000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清远市晟冠君投资有限公司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飞来峡镇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9" w:hRule="atLeast"/>
        </w:trPr>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52</w:t>
            </w:r>
          </w:p>
        </w:tc>
        <w:tc>
          <w:tcPr>
            <w:tcW w:w="4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清远市高田农业生态观光园</w:t>
            </w:r>
          </w:p>
        </w:tc>
        <w:tc>
          <w:tcPr>
            <w:tcW w:w="5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花川谷旅游度假区，以六大谷为主题构思建设形成，包括樱花谷、蝴蝶谷、花仙谷、野人谷、蓝莓谷、欢乐谷。以军事主题教育、特色民宿、特色餐厅、水上乐园等项目配套主要设施，占地700亩。</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25000</w:t>
            </w:r>
          </w:p>
        </w:tc>
        <w:tc>
          <w:tcPr>
            <w:tcW w:w="5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开展前期工作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清远市高田绿茵旅游投资有限公司</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飞来峡镇</w:t>
            </w:r>
          </w:p>
        </w:tc>
      </w:tr>
    </w:tbl>
    <w:p/>
    <w:sectPr>
      <w:footerReference r:id="rId3" w:type="default"/>
      <w:pgSz w:w="23811" w:h="16838" w:orient="landscape"/>
      <w:pgMar w:top="1440" w:right="1587" w:bottom="1587" w:left="1587" w:header="851" w:footer="1417"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MS UI Gothic">
    <w:panose1 w:val="020B0600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jc w:val="center"/>
                            <w:rPr>
                              <w:rFonts w:hint="eastAsia" w:eastAsia="宋体"/>
                              <w:lang w:val="en-US" w:eastAsia="zh-CN"/>
                            </w:rPr>
                          </w:pPr>
                          <w:r>
                            <w:rPr>
                              <w:rFonts w:hint="default" w:ascii="Times New Roman" w:hAnsi="Times New Roman"/>
                              <w:sz w:val="28"/>
                              <w:szCs w:val="28"/>
                              <w:lang w:eastAsia="zh-CN"/>
                            </w:rPr>
                            <w:t>—</w:t>
                          </w:r>
                          <w:r>
                            <w:rPr>
                              <w:rFonts w:hint="default" w:ascii="Times New Roman" w:hAnsi="Times New Roman"/>
                              <w:sz w:val="28"/>
                              <w:szCs w:val="28"/>
                              <w:lang w:val="en-US" w:eastAsia="zh-CN"/>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2</w:t>
                          </w:r>
                          <w:r>
                            <w:rPr>
                              <w:rFonts w:ascii="Times New Roman" w:hAnsi="Times New Roman"/>
                              <w:sz w:val="28"/>
                              <w:szCs w:val="28"/>
                            </w:rPr>
                            <w:fldChar w:fldCharType="end"/>
                          </w:r>
                          <w:r>
                            <w:rPr>
                              <w:rFonts w:hint="default" w:ascii="Times New Roman" w:hAnsi="Times New Roman"/>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jc w:val="center"/>
                      <w:rPr>
                        <w:rFonts w:hint="eastAsia" w:eastAsia="宋体"/>
                        <w:lang w:val="en-US" w:eastAsia="zh-CN"/>
                      </w:rPr>
                    </w:pPr>
                    <w:r>
                      <w:rPr>
                        <w:rFonts w:hint="default" w:ascii="Times New Roman" w:hAnsi="Times New Roman"/>
                        <w:sz w:val="28"/>
                        <w:szCs w:val="28"/>
                        <w:lang w:eastAsia="zh-CN"/>
                      </w:rPr>
                      <w:t>—</w:t>
                    </w:r>
                    <w:r>
                      <w:rPr>
                        <w:rFonts w:hint="default" w:ascii="Times New Roman" w:hAnsi="Times New Roman"/>
                        <w:sz w:val="28"/>
                        <w:szCs w:val="28"/>
                        <w:lang w:val="en-US" w:eastAsia="zh-CN"/>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2</w:t>
                    </w:r>
                    <w:r>
                      <w:rPr>
                        <w:rFonts w:ascii="Times New Roman" w:hAnsi="Times New Roman"/>
                        <w:sz w:val="28"/>
                        <w:szCs w:val="28"/>
                      </w:rPr>
                      <w:fldChar w:fldCharType="end"/>
                    </w:r>
                    <w:r>
                      <w:rPr>
                        <w:rFonts w:hint="default" w:ascii="Times New Roman" w:hAnsi="Times New Roman"/>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singleLevel"/>
    <w:tmpl w:val="00000006"/>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kMTEzZTdjZGU2NTAyNjM0ZWI5MDZiZGIwM2M1N2UifQ=="/>
  </w:docVars>
  <w:rsids>
    <w:rsidRoot w:val="00172A27"/>
    <w:rsid w:val="0090114C"/>
    <w:rsid w:val="01DD1C37"/>
    <w:rsid w:val="02FC3740"/>
    <w:rsid w:val="03684F41"/>
    <w:rsid w:val="04A02720"/>
    <w:rsid w:val="05184F9C"/>
    <w:rsid w:val="057E1FC6"/>
    <w:rsid w:val="05C070E5"/>
    <w:rsid w:val="06933800"/>
    <w:rsid w:val="0705591E"/>
    <w:rsid w:val="07186026"/>
    <w:rsid w:val="08E77A6D"/>
    <w:rsid w:val="08F02552"/>
    <w:rsid w:val="097C6BC6"/>
    <w:rsid w:val="09D72154"/>
    <w:rsid w:val="0BC91915"/>
    <w:rsid w:val="0CD55F4D"/>
    <w:rsid w:val="0D666D0A"/>
    <w:rsid w:val="0E230C39"/>
    <w:rsid w:val="0E5B74E0"/>
    <w:rsid w:val="0EEA1E36"/>
    <w:rsid w:val="0EF92D78"/>
    <w:rsid w:val="0FFC2879"/>
    <w:rsid w:val="10A37950"/>
    <w:rsid w:val="10BF379D"/>
    <w:rsid w:val="10F34A34"/>
    <w:rsid w:val="11206CD7"/>
    <w:rsid w:val="129B5334"/>
    <w:rsid w:val="12BC7C05"/>
    <w:rsid w:val="14CD6A71"/>
    <w:rsid w:val="15012E25"/>
    <w:rsid w:val="16611280"/>
    <w:rsid w:val="1695644C"/>
    <w:rsid w:val="16B85124"/>
    <w:rsid w:val="173C2000"/>
    <w:rsid w:val="19150E37"/>
    <w:rsid w:val="1B7579A9"/>
    <w:rsid w:val="1D5521FF"/>
    <w:rsid w:val="1DAD574A"/>
    <w:rsid w:val="1DE201DB"/>
    <w:rsid w:val="24A932C9"/>
    <w:rsid w:val="24AD03AA"/>
    <w:rsid w:val="24AF7273"/>
    <w:rsid w:val="24B77C59"/>
    <w:rsid w:val="24DD4691"/>
    <w:rsid w:val="260A1C62"/>
    <w:rsid w:val="2671532A"/>
    <w:rsid w:val="27A90688"/>
    <w:rsid w:val="27F11791"/>
    <w:rsid w:val="28FB2A87"/>
    <w:rsid w:val="2B4B650F"/>
    <w:rsid w:val="2B9611CF"/>
    <w:rsid w:val="2BE3521D"/>
    <w:rsid w:val="2D42142B"/>
    <w:rsid w:val="2DA455CA"/>
    <w:rsid w:val="2EBE0322"/>
    <w:rsid w:val="2FF20B75"/>
    <w:rsid w:val="316E5CFD"/>
    <w:rsid w:val="31EB68B6"/>
    <w:rsid w:val="32E54E3C"/>
    <w:rsid w:val="338957D1"/>
    <w:rsid w:val="344D00BA"/>
    <w:rsid w:val="38B06B6D"/>
    <w:rsid w:val="3B352415"/>
    <w:rsid w:val="3C172C5A"/>
    <w:rsid w:val="3CDF2A53"/>
    <w:rsid w:val="3D0A0E9A"/>
    <w:rsid w:val="3D830F1B"/>
    <w:rsid w:val="3DC15A7C"/>
    <w:rsid w:val="3E877873"/>
    <w:rsid w:val="3F9146CC"/>
    <w:rsid w:val="40B34B7E"/>
    <w:rsid w:val="43D17176"/>
    <w:rsid w:val="45C140AA"/>
    <w:rsid w:val="46614620"/>
    <w:rsid w:val="46A04313"/>
    <w:rsid w:val="46DC3ECD"/>
    <w:rsid w:val="48044817"/>
    <w:rsid w:val="48EF68E0"/>
    <w:rsid w:val="4A52270B"/>
    <w:rsid w:val="4A960FE3"/>
    <w:rsid w:val="4AF3760A"/>
    <w:rsid w:val="4B5440E5"/>
    <w:rsid w:val="4B5B700A"/>
    <w:rsid w:val="4DCC7E3B"/>
    <w:rsid w:val="4DDF314B"/>
    <w:rsid w:val="4F045E42"/>
    <w:rsid w:val="51DF6918"/>
    <w:rsid w:val="54E4437E"/>
    <w:rsid w:val="55A76637"/>
    <w:rsid w:val="55BB320C"/>
    <w:rsid w:val="560803B2"/>
    <w:rsid w:val="560F5482"/>
    <w:rsid w:val="56EE7EDD"/>
    <w:rsid w:val="56F11E0B"/>
    <w:rsid w:val="57017B8A"/>
    <w:rsid w:val="57EA12F4"/>
    <w:rsid w:val="5863246A"/>
    <w:rsid w:val="592A5224"/>
    <w:rsid w:val="59390302"/>
    <w:rsid w:val="59E93E2F"/>
    <w:rsid w:val="5ADC485D"/>
    <w:rsid w:val="5D616285"/>
    <w:rsid w:val="5D6333A6"/>
    <w:rsid w:val="5D7B183A"/>
    <w:rsid w:val="5DA67BC2"/>
    <w:rsid w:val="60C13B90"/>
    <w:rsid w:val="64EF770A"/>
    <w:rsid w:val="66DA6D3E"/>
    <w:rsid w:val="67C73559"/>
    <w:rsid w:val="67C815E4"/>
    <w:rsid w:val="682301EF"/>
    <w:rsid w:val="68990A03"/>
    <w:rsid w:val="68C86102"/>
    <w:rsid w:val="69AB2F38"/>
    <w:rsid w:val="6B72248A"/>
    <w:rsid w:val="6B991D97"/>
    <w:rsid w:val="6BD46808"/>
    <w:rsid w:val="6CD40596"/>
    <w:rsid w:val="6E032BCB"/>
    <w:rsid w:val="6E694C68"/>
    <w:rsid w:val="6F5450A7"/>
    <w:rsid w:val="6F5C4ECE"/>
    <w:rsid w:val="711D4CA4"/>
    <w:rsid w:val="71985DA2"/>
    <w:rsid w:val="729603BB"/>
    <w:rsid w:val="7477439F"/>
    <w:rsid w:val="74F23CCD"/>
    <w:rsid w:val="751163ED"/>
    <w:rsid w:val="784968E3"/>
    <w:rsid w:val="785E75C1"/>
    <w:rsid w:val="79CB2641"/>
    <w:rsid w:val="7A4E34A2"/>
    <w:rsid w:val="7B870A41"/>
    <w:rsid w:val="7C8B52DA"/>
    <w:rsid w:val="7C8D68AE"/>
    <w:rsid w:val="7F4B6D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正文缩进1"/>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Normal New New"/>
    <w:qFormat/>
    <w:uiPriority w:val="0"/>
    <w:pPr>
      <w:jc w:val="both"/>
    </w:pPr>
    <w:rPr>
      <w:rFonts w:ascii="Times New Roman" w:hAnsi="Times New Roman" w:eastAsia="宋体" w:cs="Times New Roman"/>
      <w:kern w:val="2"/>
      <w:sz w:val="21"/>
    </w:rPr>
  </w:style>
  <w:style w:type="paragraph" w:customStyle="1" w:styleId="8">
    <w:name w:val="正文 New"/>
    <w:qFormat/>
    <w:uiPriority w:val="0"/>
    <w:pPr>
      <w:widowControl w:val="0"/>
      <w:jc w:val="both"/>
    </w:pPr>
    <w:rPr>
      <w:rFonts w:ascii="Times New Roman" w:hAnsi="Times New Roman" w:eastAsia="仿宋_GB2312" w:cs="MS UI Gothic"/>
      <w:kern w:val="2"/>
      <w:sz w:val="32"/>
      <w:lang w:val="en-US" w:eastAsia="zh-CN" w:bidi="ar-SA"/>
    </w:rPr>
  </w:style>
  <w:style w:type="character" w:customStyle="1" w:styleId="9">
    <w:name w:val="font01"/>
    <w:basedOn w:val="6"/>
    <w:qFormat/>
    <w:uiPriority w:val="0"/>
    <w:rPr>
      <w:rFonts w:hint="eastAsia" w:ascii="宋体" w:hAnsi="宋体" w:eastAsia="宋体" w:cs="宋体"/>
      <w:color w:val="000000"/>
      <w:sz w:val="22"/>
      <w:szCs w:val="22"/>
      <w:u w:val="none"/>
    </w:rPr>
  </w:style>
  <w:style w:type="character" w:customStyle="1" w:styleId="10">
    <w:name w:val="font21"/>
    <w:basedOn w:val="6"/>
    <w:qFormat/>
    <w:uiPriority w:val="0"/>
    <w:rPr>
      <w:rFonts w:hint="eastAsia" w:ascii="仿宋_GB2312" w:eastAsia="仿宋_GB2312" w:cs="仿宋_GB2312"/>
      <w:color w:val="000000"/>
      <w:sz w:val="22"/>
      <w:szCs w:val="22"/>
      <w:u w:val="none"/>
    </w:rPr>
  </w:style>
  <w:style w:type="character" w:customStyle="1" w:styleId="11">
    <w:name w:val="font31"/>
    <w:basedOn w:val="6"/>
    <w:qFormat/>
    <w:uiPriority w:val="0"/>
    <w:rPr>
      <w:rFonts w:hint="eastAsia" w:ascii="宋体" w:hAnsi="宋体" w:eastAsia="宋体" w:cs="宋体"/>
      <w:color w:val="000000"/>
      <w:sz w:val="28"/>
      <w:szCs w:val="28"/>
      <w:u w:val="none"/>
    </w:rPr>
  </w:style>
  <w:style w:type="character" w:customStyle="1" w:styleId="12">
    <w:name w:val="font11"/>
    <w:basedOn w:val="6"/>
    <w:qFormat/>
    <w:uiPriority w:val="0"/>
    <w:rPr>
      <w:rFonts w:hint="eastAsia"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17588</Words>
  <Characters>20334</Characters>
  <Lines>0</Lines>
  <Paragraphs>0</Paragraphs>
  <TotalTime>4</TotalTime>
  <ScaleCrop>false</ScaleCrop>
  <LinksUpToDate>false</LinksUpToDate>
  <CharactersWithSpaces>20661</CharactersWithSpaces>
  <Application>WPS Office_11.8.2.10158_F1E327BC-269C-435d-A152-05C5408002CA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2023-03-06T07:54:00Z</dcterms:created>
  <dc:creator>张力</dc:creator>
  <cp:lastModifiedBy>fgj</cp:lastModifiedBy>
  <cp:lastPrinted>2024-01-23T01:10:00Z</cp:lastPrinted>
  <dcterms:modified xsi:type="dcterms:W3CDTF">2024-04-12T02:44:29Z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2052-11.8.2.10158</vt:lpwstr>
  </property>
  <property fmtid="{D5CDD505-2E9C-101B-9397-08002B2CF9AE}" pid="3" name="ICV">
    <vt:lpwstr>DB903F2111A24292955758758F5802DD</vt:lpwstr>
  </property>
</Properties>
</file>