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hint="eastAsia" w:ascii="仿宋_GB2312" w:hAnsi="仿宋_GB2312" w:eastAsia="仿宋_GB2312" w:cs="仿宋_GB2312"/>
          <w:sz w:val="32"/>
          <w:szCs w:val="32"/>
          <w:lang w:eastAsia="zh-CN"/>
        </w:rPr>
      </w:pPr>
      <w:bookmarkStart w:id="0" w:name="_GoBack"/>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《限期拆除决定书》送达名单</w:t>
      </w:r>
      <w:bookmarkEnd w:id="0"/>
    </w:p>
    <w:tbl>
      <w:tblPr>
        <w:tblStyle w:val="3"/>
        <w:tblpPr w:leftFromText="180" w:rightFromText="180" w:vertAnchor="text" w:horzAnchor="page" w:tblpX="1438" w:tblpY="37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502"/>
        <w:gridCol w:w="4412"/>
        <w:gridCol w:w="4328"/>
        <w:gridCol w:w="2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81" w:type="dxa"/>
            <w:noWrap w:val="0"/>
            <w:vAlign w:val="center"/>
          </w:tcPr>
          <w:p>
            <w:pPr>
              <w:snapToGrid w:val="0"/>
              <w:spacing w:line="5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502" w:type="dxa"/>
            <w:noWrap w:val="0"/>
            <w:vAlign w:val="center"/>
          </w:tcPr>
          <w:p>
            <w:pPr>
              <w:snapToGrid w:val="0"/>
              <w:spacing w:line="5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当事</w:t>
            </w:r>
            <w:r>
              <w:rPr>
                <w:rFonts w:hint="eastAsia" w:ascii="仿宋_GB2312" w:hAnsi="仿宋_GB2312" w:eastAsia="仿宋_GB2312" w:cs="仿宋_GB2312"/>
                <w:sz w:val="24"/>
                <w:szCs w:val="24"/>
                <w:lang w:eastAsia="zh-CN"/>
              </w:rPr>
              <w:t>人</w:t>
            </w:r>
          </w:p>
        </w:tc>
        <w:tc>
          <w:tcPr>
            <w:tcW w:w="4412" w:type="dxa"/>
            <w:noWrap w:val="0"/>
            <w:vAlign w:val="center"/>
          </w:tcPr>
          <w:p>
            <w:pPr>
              <w:snapToGrid w:val="0"/>
              <w:spacing w:line="5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违法事实</w:t>
            </w:r>
          </w:p>
        </w:tc>
        <w:tc>
          <w:tcPr>
            <w:tcW w:w="4328" w:type="dxa"/>
            <w:noWrap w:val="0"/>
            <w:vAlign w:val="center"/>
          </w:tcPr>
          <w:p>
            <w:pPr>
              <w:snapToGrid w:val="0"/>
              <w:spacing w:line="5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处理</w:t>
            </w:r>
            <w:r>
              <w:rPr>
                <w:rFonts w:hint="eastAsia" w:ascii="仿宋_GB2312" w:hAnsi="仿宋_GB2312" w:eastAsia="仿宋_GB2312" w:cs="仿宋_GB2312"/>
                <w:sz w:val="24"/>
                <w:szCs w:val="24"/>
              </w:rPr>
              <w:t>依据及</w:t>
            </w:r>
            <w:r>
              <w:rPr>
                <w:rFonts w:hint="eastAsia" w:ascii="仿宋_GB2312" w:hAnsi="仿宋_GB2312" w:eastAsia="仿宋_GB2312" w:cs="仿宋_GB2312"/>
                <w:sz w:val="24"/>
                <w:szCs w:val="24"/>
                <w:lang w:eastAsia="zh-CN"/>
              </w:rPr>
              <w:t>处理</w:t>
            </w:r>
            <w:r>
              <w:rPr>
                <w:rFonts w:hint="eastAsia" w:ascii="仿宋_GB2312" w:hAnsi="仿宋_GB2312" w:eastAsia="仿宋_GB2312" w:cs="仿宋_GB2312"/>
                <w:sz w:val="24"/>
                <w:szCs w:val="24"/>
              </w:rPr>
              <w:t>决定</w:t>
            </w:r>
          </w:p>
        </w:tc>
        <w:tc>
          <w:tcPr>
            <w:tcW w:w="2897" w:type="dxa"/>
            <w:noWrap w:val="0"/>
            <w:vAlign w:val="center"/>
          </w:tcPr>
          <w:p>
            <w:pPr>
              <w:snapToGrid w:val="0"/>
              <w:spacing w:line="5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公告送达文书</w:t>
            </w:r>
            <w:r>
              <w:rPr>
                <w:rFonts w:hint="eastAsia" w:ascii="仿宋_GB2312" w:hAnsi="仿宋_GB2312" w:eastAsia="仿宋_GB2312" w:cs="仿宋_GB2312"/>
                <w:sz w:val="24"/>
                <w:szCs w:val="24"/>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8" w:hRule="atLeast"/>
        </w:trPr>
        <w:tc>
          <w:tcPr>
            <w:tcW w:w="781" w:type="dxa"/>
            <w:noWrap w:val="0"/>
            <w:vAlign w:val="center"/>
          </w:tcPr>
          <w:p>
            <w:pPr>
              <w:snapToGrid w:val="0"/>
              <w:spacing w:line="5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w:t>
            </w:r>
          </w:p>
        </w:tc>
        <w:tc>
          <w:tcPr>
            <w:tcW w:w="1502" w:type="dxa"/>
            <w:noWrap w:val="0"/>
            <w:vAlign w:val="center"/>
          </w:tcPr>
          <w:p>
            <w:pPr>
              <w:snapToGrid w:val="0"/>
              <w:spacing w:line="560" w:lineRule="exact"/>
              <w:jc w:val="center"/>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向国松</w:t>
            </w:r>
          </w:p>
        </w:tc>
        <w:tc>
          <w:tcPr>
            <w:tcW w:w="4412"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lang w:val="en-US" w:eastAsia="zh-CN"/>
              </w:rPr>
              <w:t>当事人于2024年6月未经城乡规划主管部门批准，擅自在清远市清城区横荷街九四零地质队旁边搭建1个钢结构铁棚，铁棚长约30.4米，宽约16.6米，建筑面积约504.64㎡，占地面积约504.64㎡。</w:t>
            </w:r>
          </w:p>
        </w:tc>
        <w:tc>
          <w:tcPr>
            <w:tcW w:w="4328"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ind w:firstLine="480" w:firstLineChars="200"/>
              <w:jc w:val="both"/>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《中华人民共和国城乡规划法》第四十条第一款的规定。根据《中华人民共和国城乡规划法》第六十四条的规定,对当事人作出十五日内自行拆除上述违法建设的决定。</w:t>
            </w:r>
          </w:p>
          <w:p>
            <w:pPr>
              <w:keepNext w:val="0"/>
              <w:keepLines w:val="0"/>
              <w:pageBreakBefore w:val="0"/>
              <w:widowControl w:val="0"/>
              <w:kinsoku/>
              <w:wordWrap/>
              <w:overflowPunct/>
              <w:topLinePunct w:val="0"/>
              <w:autoSpaceDE/>
              <w:autoSpaceDN/>
              <w:bidi w:val="0"/>
              <w:adjustRightInd/>
              <w:snapToGrid w:val="0"/>
              <w:spacing w:line="300" w:lineRule="exact"/>
              <w:ind w:firstLine="480" w:firstLineChars="200"/>
              <w:jc w:val="both"/>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rPr>
              <w:t>当事人如不服本决定，可以自收到本决定书之日起六十日内向清远市清城区人民政府申请行政复议，也可以自收到本决定书之日起六个月内依法向清远市清新区人民法院提起行政诉讼。逾期不申请行政复议，也不提起行政诉讼，又不履行本决定的，本机关将依法组织实施强制拆除。强制拆除的费用由当事人承担。</w:t>
            </w:r>
          </w:p>
        </w:tc>
        <w:tc>
          <w:tcPr>
            <w:tcW w:w="2897" w:type="dxa"/>
            <w:noWrap w:val="0"/>
            <w:vAlign w:val="center"/>
          </w:tcPr>
          <w:p>
            <w:pPr>
              <w:snapToGrid w:val="0"/>
              <w:spacing w:line="5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lang w:eastAsia="zh-CN"/>
              </w:rPr>
              <w:t>横荷拆决字〔</w:t>
            </w:r>
            <w:r>
              <w:rPr>
                <w:rFonts w:hint="eastAsia" w:ascii="仿宋_GB2312" w:hAnsi="仿宋_GB2312" w:eastAsia="仿宋_GB2312" w:cs="仿宋_GB2312"/>
                <w:sz w:val="24"/>
                <w:lang w:val="en-US" w:eastAsia="zh-CN"/>
              </w:rPr>
              <w:t>2025</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lang w:eastAsia="zh-CN"/>
              </w:rPr>
              <w:t>号</w:t>
            </w:r>
          </w:p>
        </w:tc>
      </w:tr>
    </w:tbl>
    <w:p>
      <w:pPr>
        <w:snapToGrid w:val="0"/>
        <w:spacing w:line="240" w:lineRule="auto"/>
        <w:rPr>
          <w:rFonts w:hint="eastAsia" w:ascii="仿宋_GB2312" w:hAnsi="仿宋_GB2312" w:eastAsia="仿宋_GB2312" w:cs="仿宋_GB2312"/>
          <w:sz w:val="24"/>
          <w:szCs w:val="24"/>
        </w:rPr>
      </w:pPr>
    </w:p>
    <w:p/>
    <w:sectPr>
      <w:pgSz w:w="16838" w:h="11906" w:orient="landscape"/>
      <w:pgMar w:top="1587" w:right="2381" w:bottom="1474" w:left="1871" w:header="851" w:footer="992" w:gutter="0"/>
      <w:cols w:space="720" w:num="1"/>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8A6B0C"/>
    <w:rsid w:val="238A6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2025-07-11T03:11:00Z</dcterms:created>
  <dc:creator>lenovo</dc:creator>
  <cp:lastModifiedBy>lenovo</cp:lastModifiedBy>
  <dcterms:modified xsi:type="dcterms:W3CDTF">2025-07-11T03:13:23Z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