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ageBreakBefore w:val="0"/>
        <w:kinsoku/>
        <w:wordWrap/>
        <w:overflowPunct/>
        <w:bidi w:val="0"/>
        <w:snapToGrid/>
        <w:spacing w:line="560" w:lineRule="exact"/>
        <w:jc w:val="both"/>
        <w:textAlignment w:val="auto"/>
        <w:rPr>
          <w:rFonts w:hint="eastAsia" w:ascii="方正小标宋简体" w:hAnsi="宋体" w:eastAsia="方正小标宋简体"/>
          <w:color w:val="000000"/>
          <w:sz w:val="52"/>
          <w:szCs w:val="52"/>
        </w:rPr>
      </w:pPr>
    </w:p>
    <w:p>
      <w:pPr>
        <w:pStyle w:val="15"/>
        <w:pageBreakBefore w:val="0"/>
        <w:kinsoku/>
        <w:wordWrap/>
        <w:overflowPunct/>
        <w:bidi w:val="0"/>
        <w:snapToGrid/>
        <w:spacing w:line="560" w:lineRule="exact"/>
        <w:jc w:val="center"/>
        <w:textAlignment w:val="auto"/>
        <w:rPr>
          <w:rFonts w:hint="eastAsia" w:ascii="方正小标宋简体" w:hAnsi="宋体" w:eastAsia="方正小标宋简体"/>
          <w:color w:val="000000"/>
          <w:sz w:val="52"/>
          <w:szCs w:val="52"/>
        </w:rPr>
      </w:pPr>
    </w:p>
    <w:p>
      <w:pPr>
        <w:pStyle w:val="15"/>
        <w:pageBreakBefore w:val="0"/>
        <w:kinsoku/>
        <w:wordWrap/>
        <w:overflowPunct/>
        <w:bidi w:val="0"/>
        <w:snapToGrid/>
        <w:spacing w:line="560" w:lineRule="exact"/>
        <w:jc w:val="center"/>
        <w:textAlignment w:val="auto"/>
        <w:rPr>
          <w:rFonts w:hint="eastAsia" w:ascii="方正小标宋_GBK" w:hAnsi="宋体" w:eastAsia="方正小标宋_GBK"/>
          <w:color w:val="000000"/>
          <w:sz w:val="44"/>
          <w:szCs w:val="44"/>
        </w:rPr>
      </w:pPr>
      <w:r>
        <w:rPr>
          <w:rFonts w:hint="eastAsia" w:ascii="方正小标宋_GBK" w:hAnsi="宋体" w:eastAsia="方正小标宋_GBK"/>
          <w:color w:val="000000"/>
          <w:sz w:val="44"/>
          <w:szCs w:val="44"/>
        </w:rPr>
        <w:t>清远市</w:t>
      </w:r>
      <w:r>
        <w:rPr>
          <w:rFonts w:hint="eastAsia" w:ascii="方正小标宋_GBK" w:hAnsi="宋体" w:eastAsia="方正小标宋_GBK"/>
          <w:color w:val="000000"/>
          <w:sz w:val="44"/>
          <w:szCs w:val="44"/>
          <w:lang w:val="en-US" w:eastAsia="zh-CN"/>
        </w:rPr>
        <w:t>清城区</w:t>
      </w:r>
      <w:r>
        <w:rPr>
          <w:rFonts w:hint="eastAsia" w:ascii="方正小标宋_GBK" w:hAnsi="宋体" w:eastAsia="方正小标宋_GBK"/>
          <w:color w:val="000000"/>
          <w:sz w:val="44"/>
          <w:szCs w:val="44"/>
        </w:rPr>
        <w:t>安全生产“十三五”规划</w:t>
      </w:r>
    </w:p>
    <w:p>
      <w:pPr>
        <w:pStyle w:val="15"/>
        <w:pageBreakBefore w:val="0"/>
        <w:kinsoku/>
        <w:wordWrap/>
        <w:overflowPunct/>
        <w:bidi w:val="0"/>
        <w:snapToGrid/>
        <w:spacing w:line="560" w:lineRule="exact"/>
        <w:ind w:firstLine="1558" w:firstLineChars="739"/>
        <w:textAlignment w:val="auto"/>
        <w:rPr>
          <w:rFonts w:hint="eastAsia" w:ascii="仿宋_GB2312" w:eastAsia="仿宋_GB2312"/>
          <w:b/>
          <w:color w:val="000000"/>
        </w:rPr>
      </w:pPr>
    </w:p>
    <w:p>
      <w:pPr>
        <w:pStyle w:val="15"/>
        <w:pageBreakBefore w:val="0"/>
        <w:kinsoku/>
        <w:wordWrap/>
        <w:overflowPunct/>
        <w:bidi w:val="0"/>
        <w:snapToGrid/>
        <w:spacing w:line="560" w:lineRule="exact"/>
        <w:ind w:firstLine="3335" w:firstLineChars="1038"/>
        <w:jc w:val="left"/>
        <w:textAlignment w:val="auto"/>
        <w:rPr>
          <w:rFonts w:hint="eastAsia" w:ascii="仿宋_GB2312" w:eastAsia="仿宋_GB2312"/>
          <w:b/>
          <w:color w:val="000000"/>
          <w:sz w:val="32"/>
          <w:szCs w:val="32"/>
          <w:lang w:eastAsia="zh-CN"/>
        </w:rPr>
      </w:pPr>
      <w:r>
        <w:rPr>
          <w:rFonts w:hint="eastAsia" w:ascii="仿宋_GB2312" w:eastAsia="仿宋_GB2312"/>
          <w:b/>
          <w:color w:val="000000"/>
          <w:sz w:val="32"/>
          <w:szCs w:val="32"/>
          <w:lang w:eastAsia="zh-CN"/>
        </w:rPr>
        <w:t>（征求意见稿）</w:t>
      </w:r>
    </w:p>
    <w:p>
      <w:pPr>
        <w:pStyle w:val="15"/>
        <w:pageBreakBefore w:val="0"/>
        <w:kinsoku/>
        <w:wordWrap/>
        <w:overflowPunct/>
        <w:bidi w:val="0"/>
        <w:snapToGrid/>
        <w:spacing w:line="560" w:lineRule="exact"/>
        <w:textAlignment w:val="auto"/>
        <w:rPr>
          <w:rFonts w:hint="eastAsia" w:ascii="仿宋_GB2312" w:eastAsia="仿宋_GB2312"/>
          <w:b/>
          <w:color w:val="000000"/>
        </w:rPr>
      </w:pPr>
    </w:p>
    <w:p>
      <w:pPr>
        <w:pStyle w:val="15"/>
        <w:pageBreakBefore w:val="0"/>
        <w:kinsoku/>
        <w:wordWrap/>
        <w:overflowPunct/>
        <w:bidi w:val="0"/>
        <w:snapToGrid/>
        <w:spacing w:line="560" w:lineRule="exact"/>
        <w:textAlignment w:val="auto"/>
        <w:rPr>
          <w:rFonts w:hint="eastAsia" w:ascii="仿宋_GB2312" w:eastAsia="仿宋_GB2312"/>
          <w:b/>
          <w:color w:val="000000"/>
        </w:rPr>
      </w:pPr>
    </w:p>
    <w:p>
      <w:pPr>
        <w:pStyle w:val="15"/>
        <w:pageBreakBefore w:val="0"/>
        <w:kinsoku/>
        <w:wordWrap/>
        <w:overflowPunct/>
        <w:bidi w:val="0"/>
        <w:snapToGrid/>
        <w:spacing w:line="560" w:lineRule="exact"/>
        <w:ind w:firstLine="1558" w:firstLineChars="739"/>
        <w:textAlignment w:val="auto"/>
        <w:rPr>
          <w:rFonts w:hint="eastAsia" w:ascii="仿宋_GB2312" w:eastAsia="仿宋_GB2312"/>
          <w:b/>
          <w:color w:val="000000"/>
        </w:rPr>
      </w:pPr>
    </w:p>
    <w:p>
      <w:pPr>
        <w:pStyle w:val="15"/>
        <w:pageBreakBefore w:val="0"/>
        <w:kinsoku/>
        <w:wordWrap/>
        <w:overflowPunct/>
        <w:bidi w:val="0"/>
        <w:snapToGrid/>
        <w:spacing w:line="560" w:lineRule="exact"/>
        <w:ind w:firstLine="2364" w:firstLineChars="739"/>
        <w:textAlignment w:val="auto"/>
        <w:rPr>
          <w:rFonts w:hint="eastAsia" w:ascii="仿宋" w:hAnsi="仿宋" w:eastAsia="仿宋"/>
          <w:bCs/>
          <w:color w:val="000000"/>
          <w:sz w:val="32"/>
        </w:rPr>
      </w:pPr>
    </w:p>
    <w:p>
      <w:pPr>
        <w:pStyle w:val="15"/>
        <w:pageBreakBefore w:val="0"/>
        <w:kinsoku/>
        <w:wordWrap/>
        <w:overflowPunct/>
        <w:bidi w:val="0"/>
        <w:snapToGrid/>
        <w:spacing w:line="560" w:lineRule="exact"/>
        <w:ind w:firstLine="2364" w:firstLineChars="739"/>
        <w:textAlignment w:val="auto"/>
        <w:rPr>
          <w:rFonts w:hint="eastAsia" w:ascii="仿宋" w:hAnsi="仿宋" w:eastAsia="仿宋"/>
          <w:bCs/>
          <w:color w:val="000000"/>
          <w:sz w:val="32"/>
        </w:rPr>
      </w:pPr>
    </w:p>
    <w:p>
      <w:pPr>
        <w:pStyle w:val="15"/>
        <w:pageBreakBefore w:val="0"/>
        <w:kinsoku/>
        <w:wordWrap/>
        <w:overflowPunct/>
        <w:bidi w:val="0"/>
        <w:snapToGrid/>
        <w:spacing w:line="560" w:lineRule="exact"/>
        <w:textAlignment w:val="auto"/>
        <w:rPr>
          <w:rFonts w:hint="eastAsia" w:ascii="仿宋" w:hAnsi="仿宋" w:eastAsia="仿宋"/>
          <w:bCs/>
          <w:color w:val="000000"/>
          <w:sz w:val="32"/>
        </w:rPr>
      </w:pPr>
    </w:p>
    <w:p>
      <w:pPr>
        <w:pStyle w:val="17"/>
        <w:pageBreakBefore w:val="0"/>
        <w:kinsoku/>
        <w:wordWrap/>
        <w:overflowPunct/>
        <w:bidi w:val="0"/>
        <w:snapToGrid/>
        <w:spacing w:before="312" w:beforeLines="100" w:after="156" w:afterLines="50" w:line="560" w:lineRule="exact"/>
        <w:jc w:val="center"/>
        <w:textAlignment w:val="auto"/>
        <w:rPr>
          <w:rFonts w:hint="eastAsia" w:ascii="方正小标宋_GBK" w:eastAsia="方正小标宋_GBK"/>
          <w:color w:val="000000"/>
          <w:sz w:val="44"/>
          <w:szCs w:val="44"/>
        </w:rPr>
      </w:pPr>
    </w:p>
    <w:p>
      <w:pPr>
        <w:pStyle w:val="17"/>
        <w:pageBreakBefore w:val="0"/>
        <w:kinsoku/>
        <w:wordWrap/>
        <w:overflowPunct/>
        <w:bidi w:val="0"/>
        <w:snapToGrid/>
        <w:spacing w:before="312" w:beforeLines="100" w:after="156" w:afterLines="50" w:line="560" w:lineRule="exact"/>
        <w:jc w:val="center"/>
        <w:textAlignment w:val="auto"/>
        <w:rPr>
          <w:rFonts w:hint="eastAsia" w:ascii="方正小标宋_GBK" w:eastAsia="方正小标宋_GBK"/>
          <w:color w:val="000000"/>
          <w:sz w:val="32"/>
          <w:szCs w:val="32"/>
          <w:lang w:val="en-US" w:eastAsia="zh-CN"/>
        </w:rPr>
      </w:pPr>
    </w:p>
    <w:p>
      <w:pPr>
        <w:pStyle w:val="17"/>
        <w:pageBreakBefore w:val="0"/>
        <w:kinsoku/>
        <w:wordWrap/>
        <w:overflowPunct/>
        <w:bidi w:val="0"/>
        <w:snapToGrid/>
        <w:spacing w:before="312" w:beforeLines="100" w:after="156" w:afterLines="50" w:line="560" w:lineRule="exact"/>
        <w:jc w:val="center"/>
        <w:textAlignment w:val="auto"/>
        <w:rPr>
          <w:rFonts w:hint="eastAsia" w:ascii="方正小标宋_GBK" w:eastAsia="方正小标宋_GBK"/>
          <w:color w:val="000000"/>
          <w:sz w:val="32"/>
          <w:szCs w:val="32"/>
          <w:lang w:val="en-US" w:eastAsia="zh-CN"/>
        </w:rPr>
      </w:pPr>
      <w:r>
        <w:rPr>
          <w:rFonts w:hint="eastAsia" w:ascii="方正小标宋_GBK" w:eastAsia="方正小标宋_GBK"/>
          <w:color w:val="000000"/>
          <w:sz w:val="32"/>
          <w:szCs w:val="32"/>
          <w:lang w:val="en-US" w:eastAsia="zh-CN"/>
        </w:rPr>
        <w:t>2018年9月</w:t>
      </w:r>
    </w:p>
    <w:p>
      <w:pPr>
        <w:pStyle w:val="17"/>
        <w:pageBreakBefore w:val="0"/>
        <w:kinsoku/>
        <w:wordWrap/>
        <w:overflowPunct/>
        <w:bidi w:val="0"/>
        <w:snapToGrid/>
        <w:spacing w:before="312" w:beforeLines="100" w:after="156" w:afterLines="50" w:line="560" w:lineRule="exact"/>
        <w:jc w:val="center"/>
        <w:textAlignment w:val="auto"/>
        <w:rPr>
          <w:rFonts w:hint="eastAsia" w:ascii="方正小标宋_GBK" w:eastAsia="方正小标宋_GBK"/>
          <w:color w:val="000000"/>
          <w:sz w:val="44"/>
          <w:szCs w:val="44"/>
        </w:rPr>
      </w:pPr>
    </w:p>
    <w:p>
      <w:pPr>
        <w:pStyle w:val="17"/>
        <w:pageBreakBefore w:val="0"/>
        <w:kinsoku/>
        <w:wordWrap/>
        <w:overflowPunct/>
        <w:bidi w:val="0"/>
        <w:snapToGrid/>
        <w:spacing w:before="312" w:beforeLines="100" w:after="156" w:afterLines="50" w:line="560" w:lineRule="exact"/>
        <w:jc w:val="center"/>
        <w:textAlignment w:val="auto"/>
        <w:rPr>
          <w:rFonts w:hint="eastAsia" w:ascii="方正小标宋_GBK" w:eastAsia="方正小标宋_GBK"/>
          <w:color w:val="000000"/>
          <w:sz w:val="44"/>
          <w:szCs w:val="44"/>
        </w:rPr>
      </w:pPr>
    </w:p>
    <w:p>
      <w:pPr>
        <w:pStyle w:val="17"/>
        <w:pageBreakBefore w:val="0"/>
        <w:kinsoku/>
        <w:wordWrap/>
        <w:overflowPunct/>
        <w:bidi w:val="0"/>
        <w:snapToGrid/>
        <w:spacing w:before="312" w:beforeLines="100" w:after="156" w:afterLines="50" w:line="560" w:lineRule="exact"/>
        <w:jc w:val="both"/>
        <w:textAlignment w:val="auto"/>
        <w:rPr>
          <w:rFonts w:hint="eastAsia" w:ascii="方正小标宋_GBK" w:eastAsia="方正小标宋_GBK"/>
          <w:color w:val="000000"/>
          <w:sz w:val="44"/>
          <w:szCs w:val="44"/>
        </w:rPr>
      </w:pPr>
    </w:p>
    <w:p>
      <w:pPr>
        <w:pStyle w:val="17"/>
        <w:pageBreakBefore w:val="0"/>
        <w:kinsoku/>
        <w:wordWrap/>
        <w:overflowPunct/>
        <w:bidi w:val="0"/>
        <w:snapToGrid/>
        <w:spacing w:before="312" w:beforeLines="100" w:after="156" w:afterLines="50" w:line="560" w:lineRule="exact"/>
        <w:jc w:val="center"/>
        <w:textAlignment w:val="auto"/>
        <w:rPr>
          <w:rFonts w:hint="eastAsia" w:ascii="方正小标宋_GBK" w:eastAsia="方正小标宋_GBK"/>
          <w:color w:val="000000"/>
          <w:sz w:val="44"/>
          <w:szCs w:val="44"/>
        </w:rPr>
      </w:pPr>
      <w:r>
        <w:rPr>
          <w:rFonts w:hint="eastAsia" w:ascii="方正小标宋_GBK" w:eastAsia="方正小标宋_GBK"/>
          <w:color w:val="000000"/>
          <w:sz w:val="44"/>
          <w:szCs w:val="44"/>
        </w:rPr>
        <w:t>目  录</w:t>
      </w:r>
    </w:p>
    <w:p>
      <w:pPr>
        <w:pStyle w:val="15"/>
        <w:pageBreakBefore w:val="0"/>
        <w:widowControl/>
        <w:shd w:val="clear" w:color="auto" w:fill="FFFFFF"/>
        <w:kinsoku/>
        <w:wordWrap/>
        <w:overflowPunct/>
        <w:bidi w:val="0"/>
        <w:snapToGrid/>
        <w:spacing w:line="560" w:lineRule="exact"/>
        <w:jc w:val="left"/>
        <w:textAlignment w:val="auto"/>
        <w:rPr>
          <w:rFonts w:hint="eastAsia" w:ascii="仿宋" w:hAnsi="仿宋" w:eastAsia="仿宋" w:cs="Tahoma"/>
          <w:color w:val="000000"/>
          <w:kern w:val="0"/>
          <w:sz w:val="30"/>
          <w:szCs w:val="18"/>
        </w:rPr>
      </w:pPr>
    </w:p>
    <w:p>
      <w:pPr>
        <w:pageBreakBefore w:val="0"/>
        <w:kinsoku/>
        <w:wordWrap/>
        <w:overflowPunct/>
        <w:bidi w:val="0"/>
        <w:snapToGrid/>
        <w:spacing w:line="560" w:lineRule="exact"/>
        <w:jc w:val="both"/>
        <w:textAlignment w:val="auto"/>
        <w:rPr>
          <w:rFonts w:hint="eastAsia" w:ascii="黑体" w:hAnsi="黑体" w:eastAsia="黑体"/>
          <w:sz w:val="28"/>
          <w:szCs w:val="28"/>
          <w:lang w:eastAsia="zh-CN"/>
        </w:rPr>
      </w:pPr>
      <w:r>
        <w:rPr>
          <w:rFonts w:hint="eastAsia" w:ascii="黑体" w:hAnsi="黑体" w:eastAsia="黑体"/>
          <w:sz w:val="28"/>
          <w:szCs w:val="28"/>
        </w:rPr>
        <w:t>第一章  “十二五”时期安全生产基础与形势﹒﹒﹒﹒﹒﹒﹒﹒</w:t>
      </w:r>
      <w:r>
        <w:rPr>
          <w:rFonts w:hint="eastAsia" w:ascii="黑体" w:hAnsi="黑体" w:eastAsia="黑体"/>
          <w:sz w:val="28"/>
          <w:szCs w:val="28"/>
          <w:lang w:val="en-US" w:eastAsia="zh-CN"/>
        </w:rPr>
        <w:t>5</w:t>
      </w:r>
    </w:p>
    <w:p>
      <w:pPr>
        <w:pageBreakBefore w:val="0"/>
        <w:kinsoku/>
        <w:wordWrap/>
        <w:overflowPunct/>
        <w:topLinePunct/>
        <w:bidi w:val="0"/>
        <w:snapToGrid/>
        <w:spacing w:line="560" w:lineRule="exact"/>
        <w:ind w:firstLine="552" w:firstLineChars="200"/>
        <w:jc w:val="both"/>
        <w:textAlignment w:val="auto"/>
        <w:rPr>
          <w:rFonts w:hint="eastAsia" w:ascii="黑体" w:hAnsi="黑体" w:eastAsia="黑体"/>
          <w:color w:val="0000FF"/>
          <w:spacing w:val="-2"/>
          <w:sz w:val="28"/>
          <w:szCs w:val="28"/>
          <w:lang w:eastAsia="zh-CN"/>
        </w:rPr>
      </w:pPr>
      <w:r>
        <w:rPr>
          <w:rFonts w:hint="eastAsia" w:ascii="黑体" w:hAnsi="黑体" w:eastAsia="黑体"/>
          <w:spacing w:val="-2"/>
          <w:sz w:val="28"/>
          <w:szCs w:val="28"/>
        </w:rPr>
        <w:t>第一节  安全生产基础﹒﹒﹒﹒﹒﹒﹒﹒</w:t>
      </w:r>
      <w:r>
        <w:rPr>
          <w:rFonts w:hint="eastAsia" w:ascii="黑体" w:hAnsi="黑体" w:eastAsia="黑体"/>
          <w:color w:val="auto"/>
          <w:spacing w:val="-2"/>
          <w:sz w:val="28"/>
          <w:szCs w:val="28"/>
        </w:rPr>
        <w:t>﹒﹒﹒﹒﹒﹒﹒﹒</w:t>
      </w:r>
      <w:r>
        <w:rPr>
          <w:rFonts w:hint="eastAsia" w:ascii="黑体" w:hAnsi="黑体" w:eastAsia="黑体"/>
          <w:color w:val="auto"/>
          <w:spacing w:val="-2"/>
          <w:sz w:val="28"/>
          <w:szCs w:val="28"/>
          <w:lang w:val="en-US" w:eastAsia="zh-CN"/>
        </w:rPr>
        <w:t xml:space="preserve"> 5</w:t>
      </w:r>
    </w:p>
    <w:p>
      <w:pPr>
        <w:pageBreakBefore w:val="0"/>
        <w:kinsoku/>
        <w:wordWrap/>
        <w:overflowPunct/>
        <w:bidi w:val="0"/>
        <w:snapToGrid/>
        <w:spacing w:line="560" w:lineRule="exact"/>
        <w:ind w:right="-163" w:rightChars="-51" w:firstLine="560" w:firstLineChars="200"/>
        <w:jc w:val="both"/>
        <w:textAlignment w:val="auto"/>
        <w:rPr>
          <w:rFonts w:hint="eastAsia" w:ascii="黑体" w:hAnsi="黑体" w:eastAsia="黑体"/>
          <w:sz w:val="28"/>
          <w:szCs w:val="28"/>
          <w:lang w:val="en-US" w:eastAsia="zh-CN"/>
        </w:rPr>
      </w:pPr>
      <w:r>
        <w:rPr>
          <w:rFonts w:hint="eastAsia" w:ascii="黑体" w:hAnsi="黑体" w:eastAsia="黑体"/>
          <w:sz w:val="28"/>
          <w:szCs w:val="28"/>
        </w:rPr>
        <w:t>第二节  安全生产形势﹒﹒﹒﹒﹒﹒﹒﹒﹒﹒﹒﹒﹒﹒﹒﹒</w:t>
      </w:r>
      <w:r>
        <w:rPr>
          <w:rFonts w:hint="eastAsia" w:ascii="黑体" w:hAnsi="黑体" w:eastAsia="黑体"/>
          <w:sz w:val="28"/>
          <w:szCs w:val="28"/>
          <w:lang w:val="en-US" w:eastAsia="zh-CN"/>
        </w:rPr>
        <w:t>11</w:t>
      </w:r>
    </w:p>
    <w:p>
      <w:pPr>
        <w:pageBreakBefore w:val="0"/>
        <w:kinsoku/>
        <w:wordWrap/>
        <w:overflowPunct/>
        <w:bidi w:val="0"/>
        <w:snapToGrid/>
        <w:spacing w:line="560" w:lineRule="exact"/>
        <w:jc w:val="both"/>
        <w:textAlignment w:val="auto"/>
        <w:rPr>
          <w:rFonts w:hint="eastAsia" w:ascii="黑体" w:hAnsi="黑体" w:eastAsia="黑体"/>
          <w:sz w:val="28"/>
          <w:szCs w:val="28"/>
          <w:lang w:val="en-US" w:eastAsia="zh-CN"/>
        </w:rPr>
      </w:pPr>
      <w:r>
        <w:rPr>
          <w:rFonts w:hint="eastAsia" w:ascii="黑体" w:hAnsi="黑体" w:eastAsia="黑体"/>
          <w:sz w:val="28"/>
          <w:szCs w:val="28"/>
        </w:rPr>
        <w:t>第二章  “十三五”时期安全生产总体要求﹒﹒﹒﹒﹒﹒﹒﹒﹒</w:t>
      </w:r>
      <w:r>
        <w:rPr>
          <w:rFonts w:hint="eastAsia" w:ascii="黑体" w:hAnsi="黑体" w:eastAsia="黑体"/>
          <w:sz w:val="28"/>
          <w:szCs w:val="28"/>
          <w:lang w:val="en-US" w:eastAsia="zh-CN"/>
        </w:rPr>
        <w:t>13</w:t>
      </w:r>
    </w:p>
    <w:p>
      <w:pPr>
        <w:pageBreakBefore w:val="0"/>
        <w:kinsoku/>
        <w:wordWrap/>
        <w:overflowPunct/>
        <w:bidi w:val="0"/>
        <w:snapToGrid/>
        <w:spacing w:line="560" w:lineRule="exact"/>
        <w:ind w:right="-3" w:rightChars="-1"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指导思想﹒﹒﹒﹒﹒﹒﹒﹒﹒﹒﹒﹒﹒﹒﹒﹒﹒﹒</w:t>
      </w:r>
      <w:r>
        <w:rPr>
          <w:rFonts w:hint="eastAsia" w:ascii="黑体" w:hAnsi="黑体" w:eastAsia="黑体"/>
          <w:sz w:val="28"/>
          <w:szCs w:val="28"/>
          <w:lang w:val="en-US" w:eastAsia="zh-CN"/>
        </w:rPr>
        <w:t>13</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基本原则﹒﹒﹒﹒﹒﹒﹒﹒﹒﹒﹒﹒﹒﹒﹒﹒﹒﹒</w:t>
      </w:r>
      <w:r>
        <w:rPr>
          <w:rFonts w:hint="eastAsia" w:ascii="黑体" w:hAnsi="黑体" w:eastAsia="黑体"/>
          <w:sz w:val="28"/>
          <w:szCs w:val="28"/>
          <w:lang w:val="en-US" w:eastAsia="zh-CN"/>
        </w:rPr>
        <w:t>14</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规划目标﹒﹒﹒﹒﹒﹒﹒﹒﹒﹒﹒﹒﹒﹒﹒﹒﹒﹒</w:t>
      </w:r>
      <w:r>
        <w:rPr>
          <w:rFonts w:hint="eastAsia" w:ascii="黑体" w:hAnsi="黑体" w:eastAsia="黑体"/>
          <w:sz w:val="28"/>
          <w:szCs w:val="28"/>
          <w:lang w:val="en-US" w:eastAsia="zh-CN"/>
        </w:rPr>
        <w:t>15</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第三章  健全完善安全生产责任体系﹒﹒﹒﹒﹒﹒﹒﹒﹒﹒﹒﹒</w:t>
      </w:r>
      <w:r>
        <w:rPr>
          <w:rFonts w:hint="eastAsia" w:ascii="黑体" w:hAnsi="黑体" w:eastAsia="黑体"/>
          <w:sz w:val="28"/>
          <w:szCs w:val="28"/>
          <w:lang w:val="en-US" w:eastAsia="zh-CN"/>
        </w:rPr>
        <w:t>16</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落实安全生产监管责任﹒﹒﹒﹒﹒﹒﹒﹒﹒﹒﹒﹒</w:t>
      </w:r>
      <w:r>
        <w:rPr>
          <w:rFonts w:hint="eastAsia" w:ascii="黑体" w:hAnsi="黑体" w:eastAsia="黑体"/>
          <w:sz w:val="28"/>
          <w:szCs w:val="28"/>
          <w:lang w:val="en-US" w:eastAsia="zh-CN"/>
        </w:rPr>
        <w:t>16</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强化企业主体责任﹒﹒﹒﹒﹒﹒﹒﹒﹒﹒﹒﹒﹒﹒</w:t>
      </w:r>
      <w:r>
        <w:rPr>
          <w:rFonts w:hint="eastAsia" w:ascii="黑体" w:hAnsi="黑体" w:eastAsia="黑体"/>
          <w:sz w:val="28"/>
          <w:szCs w:val="28"/>
          <w:lang w:val="en-US" w:eastAsia="zh-CN"/>
        </w:rPr>
        <w:t>17</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严格事故查处与责任追究﹒﹒﹒﹒﹒﹒﹒﹒﹒﹒﹒</w:t>
      </w:r>
      <w:r>
        <w:rPr>
          <w:rFonts w:hint="eastAsia" w:ascii="黑体" w:hAnsi="黑体" w:eastAsia="黑体"/>
          <w:sz w:val="28"/>
          <w:szCs w:val="28"/>
          <w:lang w:val="en-US" w:eastAsia="zh-CN"/>
        </w:rPr>
        <w:t>18</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第四章  提升区域安全生产总体水平﹒﹒﹒﹒﹒﹒﹒﹒﹒﹒﹒﹒</w:t>
      </w:r>
      <w:r>
        <w:rPr>
          <w:rFonts w:hint="eastAsia" w:ascii="黑体" w:hAnsi="黑体" w:eastAsia="黑体"/>
          <w:sz w:val="28"/>
          <w:szCs w:val="28"/>
          <w:lang w:val="en-US" w:eastAsia="zh-CN"/>
        </w:rPr>
        <w:t>19</w:t>
      </w:r>
    </w:p>
    <w:p>
      <w:pPr>
        <w:pageBreakBefore w:val="0"/>
        <w:kinsoku/>
        <w:wordWrap/>
        <w:overflowPunct/>
        <w:bidi w:val="0"/>
        <w:snapToGrid/>
        <w:spacing w:line="560" w:lineRule="exact"/>
        <w:ind w:left="1"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统筹城市安全保障建设﹒﹒﹒﹒﹒﹒﹒﹒﹒﹒﹒﹒</w:t>
      </w:r>
      <w:r>
        <w:rPr>
          <w:rFonts w:hint="eastAsia" w:ascii="黑体" w:hAnsi="黑体" w:eastAsia="黑体"/>
          <w:sz w:val="28"/>
          <w:szCs w:val="28"/>
          <w:lang w:val="en-US" w:eastAsia="zh-CN"/>
        </w:rPr>
        <w:t>19</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推动基层安全基础建设﹒﹒﹒﹒﹒﹒﹒﹒﹒﹒﹒﹒</w:t>
      </w:r>
      <w:r>
        <w:rPr>
          <w:rFonts w:hint="eastAsia" w:ascii="黑体" w:hAnsi="黑体" w:eastAsia="黑体"/>
          <w:sz w:val="28"/>
          <w:szCs w:val="28"/>
          <w:lang w:val="en-US" w:eastAsia="zh-CN"/>
        </w:rPr>
        <w:t>20</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化解地区总体安全风险﹒﹒﹒﹒﹒﹒﹒﹒﹒﹒﹒﹒</w:t>
      </w:r>
      <w:r>
        <w:rPr>
          <w:rFonts w:hint="eastAsia" w:ascii="黑体" w:hAnsi="黑体" w:eastAsia="黑体"/>
          <w:sz w:val="28"/>
          <w:szCs w:val="28"/>
          <w:lang w:val="en-US" w:eastAsia="zh-CN"/>
        </w:rPr>
        <w:t>20</w:t>
      </w:r>
    </w:p>
    <w:p>
      <w:pPr>
        <w:pageBreakBefore w:val="0"/>
        <w:kinsoku/>
        <w:wordWrap/>
        <w:overflowPunct/>
        <w:bidi w:val="0"/>
        <w:snapToGrid/>
        <w:spacing w:line="560" w:lineRule="exact"/>
        <w:ind w:left="1"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第四节  构建区域安全风险防控预警体系﹒﹒﹒﹒﹒﹒﹒﹒</w:t>
      </w:r>
      <w:r>
        <w:rPr>
          <w:rFonts w:hint="eastAsia" w:ascii="黑体" w:hAnsi="黑体" w:eastAsia="黑体"/>
          <w:sz w:val="28"/>
          <w:szCs w:val="28"/>
          <w:lang w:val="en-US" w:eastAsia="zh-CN"/>
        </w:rPr>
        <w:t>21</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第五章  强化重点领域安全综合治理﹒﹒﹒﹒﹒﹒﹒﹒﹒﹒﹒﹒</w:t>
      </w:r>
      <w:r>
        <w:rPr>
          <w:rFonts w:hint="eastAsia" w:ascii="黑体" w:hAnsi="黑体" w:eastAsia="黑体"/>
          <w:sz w:val="28"/>
          <w:szCs w:val="28"/>
          <w:lang w:val="en-US" w:eastAsia="zh-CN"/>
        </w:rPr>
        <w:t>22</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强化交通安全监管﹒﹒﹒﹒﹒﹒﹒﹒﹒﹒﹒﹒﹒﹒</w:t>
      </w:r>
      <w:r>
        <w:rPr>
          <w:rFonts w:hint="eastAsia" w:ascii="黑体" w:hAnsi="黑体" w:eastAsia="黑体"/>
          <w:sz w:val="28"/>
          <w:szCs w:val="28"/>
          <w:lang w:val="en-US" w:eastAsia="zh-CN"/>
        </w:rPr>
        <w:t>22</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加强火灾风险防控﹒﹒﹒﹒﹒﹒﹒﹒﹒﹒﹒﹒﹒﹒</w:t>
      </w:r>
      <w:r>
        <w:rPr>
          <w:rFonts w:hint="eastAsia" w:ascii="黑体" w:hAnsi="黑体" w:eastAsia="黑体"/>
          <w:sz w:val="28"/>
          <w:szCs w:val="28"/>
          <w:lang w:val="en-US" w:eastAsia="zh-CN"/>
        </w:rPr>
        <w:t>25</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提升危险化学品安全监管水平﹒﹒﹒﹒﹒﹒﹒﹒﹒</w:t>
      </w:r>
      <w:r>
        <w:rPr>
          <w:rFonts w:hint="eastAsia" w:ascii="黑体" w:hAnsi="黑体" w:eastAsia="黑体"/>
          <w:sz w:val="28"/>
          <w:szCs w:val="28"/>
          <w:lang w:val="en-US" w:eastAsia="zh-CN"/>
        </w:rPr>
        <w:t>26</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第四节  健全烟花爆竹安全监管机制﹒﹒﹒﹒﹒﹒﹒﹒﹒﹒</w:t>
      </w:r>
      <w:r>
        <w:rPr>
          <w:rFonts w:hint="eastAsia" w:ascii="黑体" w:hAnsi="黑体" w:eastAsia="黑体"/>
          <w:sz w:val="28"/>
          <w:szCs w:val="28"/>
          <w:lang w:val="en-US" w:eastAsia="zh-CN"/>
        </w:rPr>
        <w:t>27</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第五节  推进矿山本质安全基础建设﹒﹒﹒﹒﹒﹒﹒﹒﹒﹒</w:t>
      </w:r>
      <w:r>
        <w:rPr>
          <w:rFonts w:hint="eastAsia" w:ascii="黑体" w:hAnsi="黑体" w:eastAsia="黑体"/>
          <w:sz w:val="28"/>
          <w:szCs w:val="28"/>
          <w:lang w:val="en-US" w:eastAsia="zh-CN"/>
        </w:rPr>
        <w:t>27</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第六节  构建建筑施工安全保障体系﹒﹒﹒﹒﹒﹒﹒﹒﹒﹒</w:t>
      </w:r>
      <w:r>
        <w:rPr>
          <w:rFonts w:hint="eastAsia" w:ascii="黑体" w:hAnsi="黑体" w:eastAsia="黑体"/>
          <w:sz w:val="28"/>
          <w:szCs w:val="28"/>
          <w:lang w:val="en-US" w:eastAsia="zh-CN"/>
        </w:rPr>
        <w:t>28</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第七节  提升民爆行业安全水平﹒﹒﹒﹒﹒﹒﹒﹒﹒﹒﹒﹒</w:t>
      </w:r>
      <w:r>
        <w:rPr>
          <w:rFonts w:hint="eastAsia" w:ascii="黑体" w:hAnsi="黑体" w:eastAsia="黑体"/>
          <w:sz w:val="28"/>
          <w:szCs w:val="28"/>
          <w:lang w:val="en-US" w:eastAsia="zh-CN"/>
        </w:rPr>
        <w:t>29</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w:t>
      </w:r>
      <w:r>
        <w:rPr>
          <w:rFonts w:hint="eastAsia" w:ascii="黑体" w:hAnsi="黑体" w:eastAsia="黑体"/>
          <w:sz w:val="28"/>
          <w:szCs w:val="28"/>
          <w:lang w:eastAsia="zh-CN"/>
        </w:rPr>
        <w:t>八</w:t>
      </w:r>
      <w:r>
        <w:rPr>
          <w:rFonts w:hint="eastAsia" w:ascii="黑体" w:hAnsi="黑体" w:eastAsia="黑体"/>
          <w:sz w:val="28"/>
          <w:szCs w:val="28"/>
        </w:rPr>
        <w:t>节  深化工作场所职业病危害防治﹒﹒﹒﹒﹒﹒﹒﹒﹒</w:t>
      </w:r>
      <w:r>
        <w:rPr>
          <w:rFonts w:hint="eastAsia" w:ascii="黑体" w:hAnsi="黑体" w:eastAsia="黑体"/>
          <w:sz w:val="28"/>
          <w:szCs w:val="28"/>
          <w:lang w:val="en-US" w:eastAsia="zh-CN"/>
        </w:rPr>
        <w:t>30</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w:t>
      </w:r>
      <w:r>
        <w:rPr>
          <w:rFonts w:hint="eastAsia" w:ascii="黑体" w:hAnsi="黑体" w:eastAsia="黑体"/>
          <w:sz w:val="28"/>
          <w:szCs w:val="28"/>
          <w:lang w:eastAsia="zh-CN"/>
        </w:rPr>
        <w:t>九</w:t>
      </w:r>
      <w:r>
        <w:rPr>
          <w:rFonts w:hint="eastAsia" w:ascii="黑体" w:hAnsi="黑体" w:eastAsia="黑体"/>
          <w:sz w:val="28"/>
          <w:szCs w:val="28"/>
        </w:rPr>
        <w:t>节  加强冶金等工贸行业安全基础建设﹒﹒﹒﹒﹒﹒﹒</w:t>
      </w:r>
      <w:r>
        <w:rPr>
          <w:rFonts w:hint="eastAsia" w:ascii="黑体" w:hAnsi="黑体" w:eastAsia="黑体"/>
          <w:sz w:val="28"/>
          <w:szCs w:val="28"/>
          <w:lang w:val="en-US" w:eastAsia="zh-CN"/>
        </w:rPr>
        <w:t>31</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第十节  保障电力安全﹒﹒﹒﹒﹒﹒﹒﹒﹒﹒﹒﹒﹒﹒﹒﹒</w:t>
      </w:r>
      <w:r>
        <w:rPr>
          <w:rFonts w:hint="eastAsia" w:ascii="黑体" w:hAnsi="黑体" w:eastAsia="黑体"/>
          <w:sz w:val="28"/>
          <w:szCs w:val="28"/>
          <w:lang w:val="en-US" w:eastAsia="zh-CN"/>
        </w:rPr>
        <w:t>33</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第十</w:t>
      </w:r>
      <w:r>
        <w:rPr>
          <w:rFonts w:hint="eastAsia" w:ascii="黑体" w:hAnsi="黑体" w:eastAsia="黑体"/>
          <w:sz w:val="28"/>
          <w:szCs w:val="28"/>
          <w:lang w:eastAsia="zh-CN"/>
        </w:rPr>
        <w:t>一</w:t>
      </w:r>
      <w:r>
        <w:rPr>
          <w:rFonts w:hint="eastAsia" w:ascii="黑体" w:hAnsi="黑体" w:eastAsia="黑体"/>
          <w:sz w:val="28"/>
          <w:szCs w:val="28"/>
        </w:rPr>
        <w:t>节  完善农业机械安全监管制度﹒﹒﹒﹒﹒﹒﹒﹒﹒</w:t>
      </w:r>
      <w:r>
        <w:rPr>
          <w:rFonts w:hint="eastAsia" w:ascii="黑体" w:hAnsi="黑体" w:eastAsia="黑体"/>
          <w:sz w:val="28"/>
          <w:szCs w:val="28"/>
          <w:lang w:val="en-US" w:eastAsia="zh-CN"/>
        </w:rPr>
        <w:t>33</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第十</w:t>
      </w:r>
      <w:r>
        <w:rPr>
          <w:rFonts w:hint="eastAsia" w:ascii="黑体" w:hAnsi="黑体" w:eastAsia="黑体"/>
          <w:sz w:val="28"/>
          <w:szCs w:val="28"/>
          <w:lang w:eastAsia="zh-CN"/>
        </w:rPr>
        <w:t>二</w:t>
      </w:r>
      <w:r>
        <w:rPr>
          <w:rFonts w:hint="eastAsia" w:ascii="黑体" w:hAnsi="黑体" w:eastAsia="黑体"/>
          <w:sz w:val="28"/>
          <w:szCs w:val="28"/>
        </w:rPr>
        <w:t>节  强化渔业船舶安全设施建设﹒﹒﹒﹒﹒﹒﹒﹒﹒</w:t>
      </w:r>
      <w:r>
        <w:rPr>
          <w:rFonts w:hint="eastAsia" w:ascii="黑体" w:hAnsi="黑体" w:eastAsia="黑体"/>
          <w:sz w:val="28"/>
          <w:szCs w:val="28"/>
          <w:lang w:val="en-US" w:eastAsia="zh-CN"/>
        </w:rPr>
        <w:t>33</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第六章  推进安全生产领域改革发展﹒﹒﹒﹒﹒﹒﹒﹒﹒﹒﹒﹒</w:t>
      </w:r>
      <w:r>
        <w:rPr>
          <w:rFonts w:hint="eastAsia" w:ascii="黑体" w:hAnsi="黑体" w:eastAsia="黑体"/>
          <w:sz w:val="28"/>
          <w:szCs w:val="28"/>
          <w:lang w:val="en-US" w:eastAsia="zh-CN"/>
        </w:rPr>
        <w:t>34</w:t>
      </w:r>
    </w:p>
    <w:p>
      <w:pPr>
        <w:pageBreakBefore w:val="0"/>
        <w:kinsoku/>
        <w:wordWrap/>
        <w:overflowPunct/>
        <w:bidi w:val="0"/>
        <w:snapToGrid/>
        <w:spacing w:line="560" w:lineRule="exact"/>
        <w:ind w:left="1"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改革完善安全监管体制机制﹒﹒﹒﹒﹒﹒﹒﹒﹒﹒</w:t>
      </w:r>
      <w:r>
        <w:rPr>
          <w:rFonts w:hint="eastAsia" w:ascii="黑体" w:hAnsi="黑体" w:eastAsia="黑体"/>
          <w:sz w:val="28"/>
          <w:szCs w:val="28"/>
          <w:lang w:val="en-US" w:eastAsia="zh-CN"/>
        </w:rPr>
        <w:t>34</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深化安全生产行政审批制度改革﹒﹒﹒﹒﹒﹒﹒﹒</w:t>
      </w:r>
      <w:r>
        <w:rPr>
          <w:rFonts w:hint="eastAsia" w:ascii="黑体" w:hAnsi="黑体" w:eastAsia="黑体"/>
          <w:sz w:val="28"/>
          <w:szCs w:val="28"/>
          <w:lang w:val="en-US" w:eastAsia="zh-CN"/>
        </w:rPr>
        <w:t>37</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推动安全生产社会化服务体系建设﹒﹒﹒﹒﹒﹒﹒</w:t>
      </w:r>
      <w:r>
        <w:rPr>
          <w:rFonts w:hint="eastAsia" w:ascii="黑体" w:hAnsi="黑体" w:eastAsia="黑体"/>
          <w:sz w:val="28"/>
          <w:szCs w:val="28"/>
          <w:lang w:val="en-US" w:eastAsia="zh-CN"/>
        </w:rPr>
        <w:t>37</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第七章  全面推进依法行政﹒﹒﹒﹒﹒﹒﹒﹒﹒﹒﹒﹒﹒﹒﹒﹒</w:t>
      </w:r>
      <w:r>
        <w:rPr>
          <w:rFonts w:hint="eastAsia" w:ascii="黑体" w:hAnsi="黑体" w:eastAsia="黑体"/>
          <w:sz w:val="28"/>
          <w:szCs w:val="28"/>
          <w:lang w:val="en-US" w:eastAsia="zh-CN"/>
        </w:rPr>
        <w:t>38</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第八章  全面加强安全生产监管执法﹒﹒﹒﹒﹒﹒﹒﹒﹒﹒﹒﹒</w:t>
      </w:r>
      <w:r>
        <w:rPr>
          <w:rFonts w:hint="eastAsia" w:ascii="黑体" w:hAnsi="黑体" w:eastAsia="黑体"/>
          <w:sz w:val="28"/>
          <w:szCs w:val="28"/>
          <w:lang w:val="en-US" w:eastAsia="zh-CN"/>
        </w:rPr>
        <w:t>39</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加大安全生产监管执法力度﹒﹒﹒﹒﹒﹒﹒﹒﹒﹒</w:t>
      </w:r>
      <w:r>
        <w:rPr>
          <w:rFonts w:hint="eastAsia" w:ascii="黑体" w:hAnsi="黑体" w:eastAsia="黑体"/>
          <w:sz w:val="28"/>
          <w:szCs w:val="28"/>
          <w:lang w:val="en-US" w:eastAsia="zh-CN"/>
        </w:rPr>
        <w:t>39</w:t>
      </w:r>
    </w:p>
    <w:p>
      <w:pPr>
        <w:pageBreakBefore w:val="0"/>
        <w:kinsoku/>
        <w:wordWrap/>
        <w:overflowPunct/>
        <w:bidi w:val="0"/>
        <w:snapToGrid/>
        <w:spacing w:line="560" w:lineRule="exact"/>
        <w:ind w:left="1"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推进监管执法体制机制建设﹒﹒﹒﹒﹒﹒﹒﹒﹒﹒</w:t>
      </w:r>
      <w:r>
        <w:rPr>
          <w:rFonts w:hint="eastAsia" w:ascii="黑体" w:hAnsi="黑体" w:eastAsia="黑体"/>
          <w:sz w:val="28"/>
          <w:szCs w:val="28"/>
          <w:lang w:val="en-US" w:eastAsia="zh-CN"/>
        </w:rPr>
        <w:t>39</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建设专业化的安全监管执法队伍﹒﹒﹒﹒﹒﹒﹒﹒</w:t>
      </w:r>
      <w:r>
        <w:rPr>
          <w:rFonts w:hint="eastAsia" w:ascii="黑体" w:hAnsi="黑体" w:eastAsia="黑体"/>
          <w:sz w:val="28"/>
          <w:szCs w:val="28"/>
          <w:lang w:val="en-US" w:eastAsia="zh-CN"/>
        </w:rPr>
        <w:t>40</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第四节  完善安全监管执法工作条件﹒﹒﹒﹒﹒﹒﹒﹒﹒﹒</w:t>
      </w:r>
      <w:r>
        <w:rPr>
          <w:rFonts w:hint="eastAsia" w:ascii="黑体" w:hAnsi="黑体" w:eastAsia="黑体"/>
          <w:sz w:val="28"/>
          <w:szCs w:val="28"/>
          <w:lang w:val="en-US" w:eastAsia="zh-CN"/>
        </w:rPr>
        <w:t>40</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第九章  实施安全科技强安战略﹒﹒﹒﹒﹒﹒﹒﹒﹒﹒﹒﹒﹒﹒</w:t>
      </w:r>
      <w:r>
        <w:rPr>
          <w:rFonts w:hint="eastAsia" w:ascii="黑体" w:hAnsi="黑体" w:eastAsia="黑体"/>
          <w:sz w:val="28"/>
          <w:szCs w:val="28"/>
          <w:lang w:val="en-US" w:eastAsia="zh-CN"/>
        </w:rPr>
        <w:t>41</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加强安全科技应用﹒﹒﹒﹒﹒﹒﹒﹒﹒﹒﹒﹒﹒﹒</w:t>
      </w:r>
      <w:r>
        <w:rPr>
          <w:rFonts w:hint="eastAsia" w:ascii="黑体" w:hAnsi="黑体" w:eastAsia="黑体"/>
          <w:sz w:val="28"/>
          <w:szCs w:val="28"/>
          <w:lang w:val="en-US" w:eastAsia="zh-CN"/>
        </w:rPr>
        <w:t>41</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推进安全生产技术支撑能力建设﹒﹒﹒﹒﹒﹒﹒﹒</w:t>
      </w:r>
      <w:r>
        <w:rPr>
          <w:rFonts w:hint="eastAsia" w:ascii="黑体" w:hAnsi="黑体" w:eastAsia="黑体"/>
          <w:sz w:val="28"/>
          <w:szCs w:val="28"/>
          <w:lang w:val="en-US" w:eastAsia="zh-CN"/>
        </w:rPr>
        <w:t>42</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加快安全生产信息化建设﹒﹒﹒﹒﹒﹒﹒﹒﹒﹒﹒</w:t>
      </w:r>
      <w:r>
        <w:rPr>
          <w:rFonts w:hint="eastAsia" w:ascii="黑体" w:hAnsi="黑体" w:eastAsia="黑体"/>
          <w:sz w:val="28"/>
          <w:szCs w:val="28"/>
          <w:lang w:val="en-US" w:eastAsia="zh-CN"/>
        </w:rPr>
        <w:t>42</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第四节  提升企业安全生产技术管理水平﹒﹒﹒﹒﹒﹒﹒﹒</w:t>
      </w:r>
      <w:r>
        <w:rPr>
          <w:rFonts w:hint="eastAsia" w:ascii="黑体" w:hAnsi="黑体" w:eastAsia="黑体"/>
          <w:sz w:val="28"/>
          <w:szCs w:val="28"/>
          <w:lang w:val="en-US" w:eastAsia="zh-CN"/>
        </w:rPr>
        <w:t>43</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第十章  完善安全生产应急救援体系﹒﹒﹒﹒﹒﹒﹒﹒﹒﹒﹒﹒</w:t>
      </w:r>
      <w:r>
        <w:rPr>
          <w:rFonts w:hint="eastAsia" w:ascii="黑体" w:hAnsi="黑体" w:eastAsia="黑体"/>
          <w:sz w:val="28"/>
          <w:szCs w:val="28"/>
          <w:lang w:val="en-US" w:eastAsia="zh-CN"/>
        </w:rPr>
        <w:t>44</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健全应急管理体制机制﹒﹒﹒﹒﹒﹒﹒﹒﹒﹒﹒﹒</w:t>
      </w:r>
      <w:r>
        <w:rPr>
          <w:rFonts w:hint="eastAsia" w:ascii="黑体" w:hAnsi="黑体" w:eastAsia="黑体"/>
          <w:sz w:val="28"/>
          <w:szCs w:val="28"/>
          <w:lang w:val="en-US" w:eastAsia="zh-CN"/>
        </w:rPr>
        <w:t>44</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w:t>
      </w:r>
      <w:r>
        <w:rPr>
          <w:rFonts w:hint="eastAsia" w:ascii="黑体" w:hAnsi="黑体" w:eastAsia="黑体"/>
          <w:sz w:val="28"/>
          <w:szCs w:val="28"/>
          <w:lang w:eastAsia="zh-CN"/>
        </w:rPr>
        <w:t>二</w:t>
      </w:r>
      <w:r>
        <w:rPr>
          <w:rFonts w:hint="eastAsia" w:ascii="黑体" w:hAnsi="黑体" w:eastAsia="黑体"/>
          <w:sz w:val="28"/>
          <w:szCs w:val="28"/>
        </w:rPr>
        <w:t>节  完善应急预案与应急平台体系﹒﹒﹒﹒﹒﹒﹒﹒﹒</w:t>
      </w:r>
      <w:r>
        <w:rPr>
          <w:rFonts w:hint="eastAsia" w:ascii="黑体" w:hAnsi="黑体" w:eastAsia="黑体"/>
          <w:sz w:val="28"/>
          <w:szCs w:val="28"/>
          <w:lang w:val="en-US" w:eastAsia="zh-CN"/>
        </w:rPr>
        <w:t>44</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第十一章  提高全民安全生产综合素质﹒﹒﹒﹒﹒﹒﹒﹒﹒﹒﹒</w:t>
      </w:r>
      <w:r>
        <w:rPr>
          <w:rFonts w:hint="eastAsia" w:ascii="黑体" w:hAnsi="黑体" w:eastAsia="黑体"/>
          <w:sz w:val="28"/>
          <w:szCs w:val="28"/>
          <w:lang w:val="en-US" w:eastAsia="zh-CN"/>
        </w:rPr>
        <w:t>45</w:t>
      </w:r>
    </w:p>
    <w:p>
      <w:pPr>
        <w:pageBreakBefore w:val="0"/>
        <w:kinsoku/>
        <w:wordWrap/>
        <w:overflowPunct/>
        <w:bidi w:val="0"/>
        <w:snapToGrid/>
        <w:spacing w:line="560" w:lineRule="exact"/>
        <w:ind w:left="1"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w:t>
      </w:r>
      <w:r>
        <w:rPr>
          <w:rFonts w:hint="eastAsia" w:ascii="黑体" w:hAnsi="黑体" w:eastAsia="黑体"/>
          <w:sz w:val="28"/>
          <w:szCs w:val="28"/>
          <w:lang w:eastAsia="zh-CN"/>
        </w:rPr>
        <w:t>一</w:t>
      </w:r>
      <w:r>
        <w:rPr>
          <w:rFonts w:hint="eastAsia" w:ascii="黑体" w:hAnsi="黑体" w:eastAsia="黑体"/>
          <w:sz w:val="28"/>
          <w:szCs w:val="28"/>
        </w:rPr>
        <w:t>节  推进全民安全宣传教育﹒﹒﹒﹒﹒﹒﹒﹒﹒﹒﹒﹒</w:t>
      </w:r>
      <w:r>
        <w:rPr>
          <w:rFonts w:hint="eastAsia" w:ascii="黑体" w:hAnsi="黑体" w:eastAsia="黑体"/>
          <w:sz w:val="28"/>
          <w:szCs w:val="28"/>
          <w:lang w:val="en-US" w:eastAsia="zh-CN"/>
        </w:rPr>
        <w:t>45</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w:t>
      </w:r>
      <w:r>
        <w:rPr>
          <w:rFonts w:hint="eastAsia" w:ascii="黑体" w:hAnsi="黑体" w:eastAsia="黑体"/>
          <w:sz w:val="28"/>
          <w:szCs w:val="28"/>
          <w:lang w:eastAsia="zh-CN"/>
        </w:rPr>
        <w:t>二</w:t>
      </w:r>
      <w:r>
        <w:rPr>
          <w:rFonts w:hint="eastAsia" w:ascii="黑体" w:hAnsi="黑体" w:eastAsia="黑体"/>
          <w:sz w:val="28"/>
          <w:szCs w:val="28"/>
        </w:rPr>
        <w:t>节  加强安全文化建设﹒﹒﹒﹒﹒﹒﹒﹒﹒﹒﹒﹒﹒﹒</w:t>
      </w:r>
      <w:r>
        <w:rPr>
          <w:rFonts w:hint="eastAsia" w:ascii="黑体" w:hAnsi="黑体" w:eastAsia="黑体"/>
          <w:sz w:val="28"/>
          <w:szCs w:val="28"/>
          <w:lang w:val="en-US" w:eastAsia="zh-CN"/>
        </w:rPr>
        <w:t>46</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第十二章  着力实施安全生产重大项目﹒﹒﹒﹒﹒﹒﹒﹒﹒﹒﹒</w:t>
      </w:r>
      <w:r>
        <w:rPr>
          <w:rFonts w:hint="eastAsia" w:ascii="黑体" w:hAnsi="黑体" w:eastAsia="黑体"/>
          <w:sz w:val="28"/>
          <w:szCs w:val="28"/>
          <w:lang w:val="en-US" w:eastAsia="zh-CN"/>
        </w:rPr>
        <w:t>46</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w:t>
      </w:r>
      <w:r>
        <w:rPr>
          <w:rFonts w:hint="eastAsia" w:ascii="黑体" w:hAnsi="黑体" w:eastAsia="黑体"/>
          <w:sz w:val="28"/>
          <w:szCs w:val="28"/>
          <w:lang w:eastAsia="zh-CN"/>
        </w:rPr>
        <w:t>一</w:t>
      </w:r>
      <w:r>
        <w:rPr>
          <w:rFonts w:hint="eastAsia" w:ascii="黑体" w:hAnsi="黑体" w:eastAsia="黑体"/>
          <w:sz w:val="28"/>
          <w:szCs w:val="28"/>
        </w:rPr>
        <w:t>节  推进安全生产技术支撑平台项目建设﹒﹒﹒﹒﹒﹒</w:t>
      </w:r>
      <w:r>
        <w:rPr>
          <w:rFonts w:hint="eastAsia" w:ascii="黑体" w:hAnsi="黑体" w:eastAsia="黑体"/>
          <w:sz w:val="28"/>
          <w:szCs w:val="28"/>
          <w:lang w:val="en-US" w:eastAsia="zh-CN"/>
        </w:rPr>
        <w:t>46</w:t>
      </w:r>
    </w:p>
    <w:p>
      <w:pPr>
        <w:pageBreakBefore w:val="0"/>
        <w:kinsoku/>
        <w:wordWrap/>
        <w:overflowPunct/>
        <w:bidi w:val="0"/>
        <w:snapToGrid/>
        <w:spacing w:line="560" w:lineRule="exact"/>
        <w:ind w:firstLine="560" w:firstLineChars="200"/>
        <w:textAlignment w:val="auto"/>
        <w:rPr>
          <w:rFonts w:hint="eastAsia" w:ascii="黑体" w:hAnsi="黑体" w:eastAsia="黑体"/>
          <w:color w:val="000000" w:themeColor="text1"/>
          <w:sz w:val="28"/>
          <w:szCs w:val="28"/>
          <w14:textFill>
            <w14:solidFill>
              <w14:schemeClr w14:val="tx1"/>
            </w14:solidFill>
          </w14:textFill>
        </w:rPr>
      </w:pPr>
      <w:r>
        <w:rPr>
          <w:rFonts w:hint="eastAsia" w:ascii="黑体" w:hAnsi="黑体" w:eastAsia="黑体"/>
          <w:sz w:val="28"/>
          <w:szCs w:val="28"/>
        </w:rPr>
        <w:t>第</w:t>
      </w:r>
      <w:r>
        <w:rPr>
          <w:rFonts w:hint="eastAsia" w:ascii="黑体" w:hAnsi="黑体" w:eastAsia="黑体"/>
          <w:sz w:val="28"/>
          <w:szCs w:val="28"/>
          <w:lang w:eastAsia="zh-CN"/>
        </w:rPr>
        <w:t>二</w:t>
      </w:r>
      <w:r>
        <w:rPr>
          <w:rFonts w:hint="eastAsia" w:ascii="黑体" w:hAnsi="黑体" w:eastAsia="黑体"/>
          <w:sz w:val="28"/>
          <w:szCs w:val="28"/>
        </w:rPr>
        <w:t xml:space="preserve">节  </w:t>
      </w:r>
      <w:r>
        <w:rPr>
          <w:rFonts w:hint="eastAsia" w:ascii="黑体" w:hAnsi="黑体" w:eastAsia="黑体"/>
          <w:color w:val="000000" w:themeColor="text1"/>
          <w:sz w:val="28"/>
          <w:szCs w:val="28"/>
          <w14:textFill>
            <w14:solidFill>
              <w14:schemeClr w14:val="tx1"/>
            </w14:solidFill>
          </w14:textFill>
        </w:rPr>
        <w:t>推进“互联网+安全生产”综合政务服务</w:t>
      </w:r>
    </w:p>
    <w:p>
      <w:pPr>
        <w:pageBreakBefore w:val="0"/>
        <w:kinsoku/>
        <w:wordWrap/>
        <w:overflowPunct/>
        <w:bidi w:val="0"/>
        <w:snapToGrid/>
        <w:spacing w:line="560" w:lineRule="exact"/>
        <w:ind w:firstLine="1680" w:firstLineChars="600"/>
        <w:textAlignment w:val="auto"/>
        <w:rPr>
          <w:rFonts w:hint="eastAsia" w:ascii="黑体" w:hAnsi="黑体" w:eastAsia="黑体"/>
          <w:color w:val="000000" w:themeColor="text1"/>
          <w:sz w:val="28"/>
          <w:szCs w:val="28"/>
          <w:lang w:val="en-US" w:eastAsia="zh-CN"/>
          <w14:textFill>
            <w14:solidFill>
              <w14:schemeClr w14:val="tx1"/>
            </w14:solidFill>
          </w14:textFill>
        </w:rPr>
      </w:pPr>
      <w:r>
        <w:rPr>
          <w:rFonts w:hint="eastAsia" w:ascii="黑体" w:hAnsi="黑体" w:eastAsia="黑体"/>
          <w:color w:val="000000" w:themeColor="text1"/>
          <w:sz w:val="28"/>
          <w:szCs w:val="28"/>
          <w14:textFill>
            <w14:solidFill>
              <w14:schemeClr w14:val="tx1"/>
            </w14:solidFill>
          </w14:textFill>
        </w:rPr>
        <w:t>云平台项目建设﹒﹒﹒﹒﹒﹒﹒﹒﹒﹒﹒﹒﹒﹒﹒</w:t>
      </w:r>
      <w:r>
        <w:rPr>
          <w:rFonts w:hint="eastAsia" w:ascii="黑体" w:hAnsi="黑体" w:eastAsia="黑体"/>
          <w:color w:val="000000" w:themeColor="text1"/>
          <w:sz w:val="28"/>
          <w:szCs w:val="28"/>
          <w:lang w:val="en-US" w:eastAsia="zh-CN"/>
          <w14:textFill>
            <w14:solidFill>
              <w14:schemeClr w14:val="tx1"/>
            </w14:solidFill>
          </w14:textFill>
        </w:rPr>
        <w:t>47</w:t>
      </w:r>
    </w:p>
    <w:p>
      <w:pPr>
        <w:pageBreakBefore w:val="0"/>
        <w:kinsoku/>
        <w:wordWrap/>
        <w:overflowPunct/>
        <w:bidi w:val="0"/>
        <w:snapToGrid/>
        <w:spacing w:line="560" w:lineRule="exact"/>
        <w:textAlignment w:val="auto"/>
        <w:rPr>
          <w:rFonts w:hint="eastAsia" w:ascii="黑体" w:hAnsi="黑体" w:eastAsia="黑体"/>
          <w:sz w:val="28"/>
          <w:szCs w:val="28"/>
          <w:lang w:val="en-US" w:eastAsia="zh-CN"/>
        </w:rPr>
      </w:pPr>
      <w:r>
        <w:rPr>
          <w:rFonts w:hint="eastAsia" w:ascii="黑体" w:hAnsi="黑体" w:eastAsia="黑体"/>
          <w:sz w:val="28"/>
          <w:szCs w:val="28"/>
        </w:rPr>
        <w:t>第十三章  强化规划实施保障﹒﹒﹒﹒﹒﹒﹒﹒﹒﹒﹒﹒﹒﹒﹒</w:t>
      </w:r>
      <w:r>
        <w:rPr>
          <w:rFonts w:hint="eastAsia" w:ascii="黑体" w:hAnsi="黑体" w:eastAsia="黑体"/>
          <w:sz w:val="28"/>
          <w:szCs w:val="28"/>
          <w:lang w:val="en-US" w:eastAsia="zh-CN"/>
        </w:rPr>
        <w:t>48</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第一节  落实规划实施责任﹒﹒﹒﹒﹒﹒﹒﹒﹒﹒﹒﹒﹒﹒</w:t>
      </w:r>
      <w:r>
        <w:rPr>
          <w:rFonts w:hint="eastAsia" w:ascii="黑体" w:hAnsi="黑体" w:eastAsia="黑体"/>
          <w:sz w:val="28"/>
          <w:szCs w:val="28"/>
          <w:lang w:val="en-US" w:eastAsia="zh-CN"/>
        </w:rPr>
        <w:t>48</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第二节  完善安全综合政策﹒﹒﹒﹒﹒﹒﹒﹒﹒﹒﹒﹒﹒﹒</w:t>
      </w:r>
      <w:r>
        <w:rPr>
          <w:rFonts w:hint="eastAsia" w:ascii="黑体" w:hAnsi="黑体" w:eastAsia="黑体"/>
          <w:sz w:val="28"/>
          <w:szCs w:val="28"/>
          <w:lang w:val="en-US" w:eastAsia="zh-CN"/>
        </w:rPr>
        <w:t>49</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第三节  健全社会共治体系﹒﹒﹒﹒﹒﹒﹒﹒﹒﹒﹒﹒﹒﹒</w:t>
      </w:r>
      <w:r>
        <w:rPr>
          <w:rFonts w:hint="eastAsia" w:ascii="黑体" w:hAnsi="黑体" w:eastAsia="黑体"/>
          <w:sz w:val="28"/>
          <w:szCs w:val="28"/>
          <w:lang w:val="en-US" w:eastAsia="zh-CN"/>
        </w:rPr>
        <w:t>49</w:t>
      </w:r>
    </w:p>
    <w:p>
      <w:pPr>
        <w:pageBreakBefore w:val="0"/>
        <w:kinsoku/>
        <w:wordWrap/>
        <w:overflowPunct/>
        <w:bidi w:val="0"/>
        <w:snapToGrid/>
        <w:spacing w:line="560" w:lineRule="exact"/>
        <w:ind w:firstLine="560" w:firstLineChars="200"/>
        <w:textAlignment w:val="auto"/>
        <w:rPr>
          <w:rFonts w:hint="eastAsia" w:ascii="黑体" w:hAnsi="黑体" w:eastAsia="黑体"/>
          <w:sz w:val="28"/>
          <w:szCs w:val="28"/>
          <w:lang w:val="en-US" w:eastAsia="zh-CN"/>
        </w:rPr>
      </w:pPr>
      <w:r>
        <w:rPr>
          <w:rFonts w:hint="eastAsia" w:ascii="黑体" w:hAnsi="黑体" w:eastAsia="黑体"/>
          <w:sz w:val="28"/>
          <w:szCs w:val="28"/>
        </w:rPr>
        <w:t>第四节  强化规划评估考核﹒﹒﹒﹒﹒﹒﹒﹒﹒﹒﹒﹒﹒﹒</w:t>
      </w:r>
      <w:r>
        <w:rPr>
          <w:rFonts w:hint="eastAsia" w:ascii="黑体" w:hAnsi="黑体" w:eastAsia="黑体"/>
          <w:sz w:val="28"/>
          <w:szCs w:val="28"/>
          <w:lang w:val="en-US" w:eastAsia="zh-CN"/>
        </w:rPr>
        <w:t>50</w:t>
      </w:r>
    </w:p>
    <w:p>
      <w:pPr>
        <w:pStyle w:val="15"/>
        <w:pageBreakBefore w:val="0"/>
        <w:kinsoku/>
        <w:wordWrap/>
        <w:overflowPunct/>
        <w:bidi w:val="0"/>
        <w:snapToGrid/>
        <w:spacing w:line="560" w:lineRule="exact"/>
        <w:jc w:val="center"/>
        <w:textAlignment w:val="auto"/>
        <w:rPr>
          <w:rFonts w:hint="eastAsia" w:ascii="仿宋_GB2312" w:hAnsi="仿宋" w:cs="仿宋"/>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bookmarkStart w:id="0" w:name="_Toc425086773"/>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_GB2312"/>
          <w:color w:val="000000"/>
          <w:sz w:val="32"/>
          <w:szCs w:val="32"/>
        </w:rPr>
        <w:t>本规划根据《清远市</w:t>
      </w:r>
      <w:r>
        <w:rPr>
          <w:rFonts w:hint="eastAsia" w:ascii="仿宋_GB2312" w:hAnsi="仿宋_GB2312" w:eastAsia="仿宋_GB2312" w:cs="仿宋_GB2312"/>
          <w:color w:val="000000"/>
          <w:sz w:val="32"/>
          <w:szCs w:val="32"/>
          <w:lang w:val="en-US" w:eastAsia="zh-CN"/>
        </w:rPr>
        <w:t>清城区</w:t>
      </w:r>
      <w:r>
        <w:rPr>
          <w:rFonts w:hint="eastAsia" w:ascii="仿宋_GB2312" w:hAnsi="仿宋_GB2312" w:eastAsia="仿宋_GB2312" w:cs="仿宋_GB2312"/>
          <w:color w:val="000000"/>
          <w:sz w:val="32"/>
          <w:szCs w:val="32"/>
        </w:rPr>
        <w:t>国民经济和社会发展第十三个五年规划纲要》编制，是“十三五”时期</w:t>
      </w:r>
      <w:r>
        <w:rPr>
          <w:rFonts w:hint="eastAsia" w:ascii="仿宋_GB2312" w:hAnsi="仿宋_GB2312" w:eastAsia="仿宋_GB2312" w:cs="仿宋_GB2312"/>
          <w:color w:val="000000"/>
          <w:sz w:val="32"/>
        </w:rPr>
        <w:t>（2016-2020年）</w:t>
      </w:r>
      <w:r>
        <w:rPr>
          <w:rFonts w:hint="eastAsia" w:ascii="仿宋_GB2312" w:hAnsi="仿宋_GB2312" w:eastAsia="仿宋_GB2312" w:cs="仿宋_GB2312"/>
          <w:color w:val="000000"/>
          <w:sz w:val="32"/>
          <w:szCs w:val="32"/>
        </w:rPr>
        <w:t>我</w:t>
      </w:r>
      <w:r>
        <w:rPr>
          <w:rFonts w:hint="eastAsia" w:ascii="仿宋_GB2312" w:hAnsi="仿宋_GB2312" w:eastAsia="仿宋_GB2312" w:cs="仿宋_GB2312"/>
          <w:color w:val="000000"/>
          <w:sz w:val="32"/>
          <w:szCs w:val="32"/>
          <w:lang w:val="en-US" w:eastAsia="zh-CN"/>
        </w:rPr>
        <w:t>区</w:t>
      </w:r>
      <w:r>
        <w:rPr>
          <w:rFonts w:hint="eastAsia" w:ascii="仿宋_GB2312" w:hAnsi="仿宋_GB2312" w:eastAsia="仿宋_GB2312" w:cs="仿宋_GB2312"/>
          <w:color w:val="000000"/>
          <w:sz w:val="32"/>
          <w:szCs w:val="32"/>
        </w:rPr>
        <w:t>安全生产工作的纲领性文件和重要依据。</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p>
      <w:pPr>
        <w:pStyle w:val="15"/>
        <w:pageBreakBefore w:val="0"/>
        <w:kinsoku/>
        <w:wordWrap/>
        <w:overflowPunct/>
        <w:bidi w:val="0"/>
        <w:snapToGrid/>
        <w:spacing w:line="560" w:lineRule="exact"/>
        <w:jc w:val="center"/>
        <w:textAlignment w:val="auto"/>
        <w:outlineLvl w:val="0"/>
        <w:rPr>
          <w:rFonts w:hint="eastAsia" w:ascii="方正小标宋_GBK" w:hAnsi="黑体" w:eastAsia="方正小标宋_GBK" w:cs="黑体"/>
          <w:color w:val="000000"/>
          <w:sz w:val="44"/>
          <w:szCs w:val="44"/>
        </w:rPr>
      </w:pPr>
      <w:bookmarkStart w:id="1" w:name="_Toc17138"/>
      <w:r>
        <w:rPr>
          <w:rFonts w:hint="eastAsia" w:ascii="方正小标宋_GBK" w:hAnsi="黑体" w:eastAsia="方正小标宋_GBK" w:cs="黑体"/>
          <w:color w:val="000000"/>
          <w:sz w:val="44"/>
          <w:szCs w:val="44"/>
        </w:rPr>
        <w:t>第一章  “十二五”时期安全生产基础与形势</w:t>
      </w:r>
      <w:bookmarkEnd w:id="0"/>
      <w:bookmarkEnd w:id="1"/>
    </w:p>
    <w:p>
      <w:pPr>
        <w:pStyle w:val="15"/>
        <w:pageBreakBefore w:val="0"/>
        <w:kinsoku/>
        <w:wordWrap/>
        <w:overflowPunct/>
        <w:bidi w:val="0"/>
        <w:snapToGrid/>
        <w:spacing w:line="560" w:lineRule="exact"/>
        <w:ind w:firstLine="640" w:firstLineChars="200"/>
        <w:jc w:val="left"/>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“十二五”时期</w:t>
      </w:r>
      <w:r>
        <w:rPr>
          <w:rFonts w:hint="eastAsia" w:ascii="仿宋_GB2312" w:hAnsi="仿宋" w:eastAsia="仿宋_GB2312" w:cs="仿宋"/>
          <w:color w:val="000000"/>
          <w:sz w:val="32"/>
        </w:rPr>
        <w:t>（2011-2015年）</w:t>
      </w:r>
      <w:r>
        <w:rPr>
          <w:rFonts w:hint="eastAsia" w:ascii="仿宋_GB2312" w:hAnsi="仿宋" w:eastAsia="仿宋_GB2312" w:cs="仿宋"/>
          <w:color w:val="000000"/>
          <w:sz w:val="32"/>
          <w:szCs w:val="32"/>
        </w:rPr>
        <w:t>，</w:t>
      </w:r>
      <w:r>
        <w:rPr>
          <w:rFonts w:hint="eastAsia" w:ascii="仿宋_GB2312" w:hAnsi="仿宋" w:eastAsia="仿宋_GB2312" w:cs="仿宋"/>
          <w:color w:val="000000"/>
          <w:sz w:val="32"/>
          <w:szCs w:val="32"/>
          <w:lang w:val="en-US" w:eastAsia="zh-CN"/>
        </w:rPr>
        <w:t>清城区</w:t>
      </w:r>
      <w:r>
        <w:rPr>
          <w:rFonts w:hint="eastAsia" w:ascii="仿宋_GB2312" w:hAnsi="仿宋" w:eastAsia="仿宋_GB2312" w:cs="仿宋"/>
          <w:color w:val="000000"/>
          <w:sz w:val="32"/>
          <w:szCs w:val="32"/>
        </w:rPr>
        <w:t>委、</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政府坚持以科学发展观为指导，高度重视安全生产工作，把安全发展作为重要理念纳入清远市</w:t>
      </w:r>
      <w:r>
        <w:rPr>
          <w:rFonts w:hint="eastAsia" w:ascii="仿宋_GB2312" w:hAnsi="仿宋" w:eastAsia="仿宋_GB2312" w:cs="仿宋"/>
          <w:color w:val="000000"/>
          <w:sz w:val="32"/>
          <w:szCs w:val="32"/>
          <w:lang w:val="en-US" w:eastAsia="zh-CN"/>
        </w:rPr>
        <w:t>清城区</w:t>
      </w:r>
      <w:r>
        <w:rPr>
          <w:rFonts w:hint="eastAsia" w:ascii="仿宋_GB2312" w:hAnsi="仿宋" w:eastAsia="仿宋_GB2312" w:cs="仿宋"/>
          <w:color w:val="000000"/>
          <w:sz w:val="32"/>
          <w:szCs w:val="32"/>
        </w:rPr>
        <w:t>经济社会建设的总体战略，把加强安全生产作为促进经济社会协调发展的重要工作来抓，有</w:t>
      </w:r>
      <w:r>
        <w:rPr>
          <w:rFonts w:hint="eastAsia" w:ascii="仿宋_GB2312" w:hAnsi="仿宋" w:eastAsia="仿宋_GB2312" w:cs="仿宋"/>
          <w:color w:val="000000"/>
          <w:sz w:val="32"/>
        </w:rPr>
        <w:t>效地维护了全</w:t>
      </w:r>
      <w:r>
        <w:rPr>
          <w:rFonts w:hint="eastAsia" w:ascii="仿宋_GB2312" w:hAnsi="仿宋" w:eastAsia="仿宋_GB2312" w:cs="仿宋"/>
          <w:color w:val="000000"/>
          <w:sz w:val="32"/>
          <w:lang w:val="en-US" w:eastAsia="zh-CN"/>
        </w:rPr>
        <w:t>区</w:t>
      </w:r>
      <w:r>
        <w:rPr>
          <w:rFonts w:hint="eastAsia" w:ascii="仿宋_GB2312" w:hAnsi="仿宋" w:eastAsia="仿宋_GB2312" w:cs="仿宋"/>
          <w:color w:val="000000"/>
          <w:sz w:val="32"/>
        </w:rPr>
        <w:t>安全生产形势持续稳定好转。</w:t>
      </w:r>
    </w:p>
    <w:p>
      <w:pPr>
        <w:pStyle w:val="15"/>
        <w:pageBreakBefore w:val="0"/>
        <w:kinsoku/>
        <w:wordWrap/>
        <w:overflowPunct/>
        <w:bidi w:val="0"/>
        <w:snapToGrid/>
        <w:spacing w:line="560" w:lineRule="exact"/>
        <w:ind w:firstLine="640" w:firstLineChars="200"/>
        <w:jc w:val="center"/>
        <w:textAlignment w:val="auto"/>
        <w:rPr>
          <w:rFonts w:hint="eastAsia" w:ascii="仿宋" w:hAnsi="仿宋" w:eastAsia="仿宋" w:cs="仿宋"/>
          <w:color w:val="000000"/>
          <w:sz w:val="32"/>
          <w:szCs w:val="32"/>
        </w:rPr>
      </w:pPr>
    </w:p>
    <w:p>
      <w:pPr>
        <w:pStyle w:val="23"/>
        <w:pageBreakBefore w:val="0"/>
        <w:kinsoku/>
        <w:wordWrap/>
        <w:overflowPunct/>
        <w:bidi w:val="0"/>
        <w:snapToGrid/>
        <w:spacing w:line="560" w:lineRule="exact"/>
        <w:ind w:firstLine="0" w:firstLineChars="0"/>
        <w:jc w:val="center"/>
        <w:textAlignment w:val="auto"/>
        <w:rPr>
          <w:rFonts w:hint="eastAsia" w:ascii="黑体" w:hAnsi="黑体" w:eastAsia="黑体"/>
          <w:b w:val="0"/>
          <w:color w:val="000000"/>
        </w:rPr>
      </w:pPr>
      <w:bookmarkStart w:id="2" w:name="_Toc24966"/>
      <w:r>
        <w:rPr>
          <w:rFonts w:hint="eastAsia" w:ascii="黑体" w:hAnsi="黑体" w:eastAsia="黑体"/>
          <w:b w:val="0"/>
          <w:color w:val="000000"/>
        </w:rPr>
        <w:t>第一节  安全生产基础</w:t>
      </w:r>
      <w:bookmarkEnd w:id="2"/>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“十二五”时期，</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委、</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政府制定了一系列强有力的政策措施，保障了安全生产“十二五”规划各项任务顺利实施。安全生产管理体制、安全生产法制秩序建设、安全生产技术水平、安全发展保障能力、安全生产信息管理体系、安全生产培训体系、安全生产宣传教育体系和安全生产应急救援体系等方面都取得新进展；安全生产监管监察能力进一步提升；在重点行业领域开展危险隐患排查和专项整治取得明显成效；企业安全生产标准化达标工作顺利开展。经过各方面的共同努力，清远市</w:t>
      </w:r>
      <w:r>
        <w:rPr>
          <w:rFonts w:hint="eastAsia" w:ascii="仿宋_GB2312" w:hAnsi="仿宋" w:eastAsia="仿宋_GB2312" w:cs="仿宋"/>
          <w:color w:val="000000"/>
          <w:sz w:val="32"/>
          <w:szCs w:val="32"/>
          <w:lang w:val="en-US" w:eastAsia="zh-CN"/>
        </w:rPr>
        <w:t>清城区</w:t>
      </w:r>
      <w:r>
        <w:rPr>
          <w:rFonts w:hint="eastAsia" w:ascii="仿宋_GB2312" w:hAnsi="仿宋" w:eastAsia="仿宋_GB2312" w:cs="仿宋"/>
          <w:color w:val="000000"/>
          <w:sz w:val="32"/>
          <w:szCs w:val="32"/>
        </w:rPr>
        <w:t>安全生产“十二五”规划目标基本实现，全</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安全生产状况明显好转。</w:t>
      </w:r>
    </w:p>
    <w:p>
      <w:pPr>
        <w:pStyle w:val="15"/>
        <w:pageBreakBefore w:val="0"/>
        <w:kinsoku/>
        <w:wordWrap/>
        <w:overflowPunct/>
        <w:bidi w:val="0"/>
        <w:snapToGrid/>
        <w:spacing w:line="560" w:lineRule="exact"/>
        <w:ind w:firstLine="640" w:firstLineChars="200"/>
        <w:textAlignment w:val="auto"/>
        <w:rPr>
          <w:rFonts w:hint="eastAsia" w:ascii="楷体_GB2312" w:hAnsi="仿宋" w:eastAsia="楷体_GB2312" w:cs="仿宋"/>
          <w:color w:val="000000"/>
          <w:sz w:val="32"/>
          <w:szCs w:val="32"/>
        </w:rPr>
      </w:pPr>
      <w:r>
        <w:rPr>
          <w:rFonts w:hint="eastAsia" w:ascii="楷体_GB2312" w:hAnsi="仿宋" w:eastAsia="楷体_GB2312" w:cs="仿宋"/>
          <w:bCs/>
          <w:color w:val="000000"/>
          <w:sz w:val="32"/>
          <w:szCs w:val="32"/>
        </w:rPr>
        <w:t>（一）“十二五”期间取得的进展</w:t>
      </w:r>
      <w:r>
        <w:rPr>
          <w:rFonts w:hint="eastAsia" w:ascii="楷体_GB2312" w:hAnsi="仿宋" w:eastAsia="楷体_GB2312" w:cs="仿宋"/>
          <w:color w:val="000000"/>
          <w:sz w:val="32"/>
          <w:szCs w:val="32"/>
        </w:rPr>
        <w:t>。</w:t>
      </w: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“十二五”期间，全</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安全生产形势稳定好转，事故死亡人数逐年下降。2015年，全</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各类事故死亡</w:t>
      </w:r>
      <w:r>
        <w:rPr>
          <w:rFonts w:hint="eastAsia" w:ascii="仿宋_GB2312" w:hAnsi="仿宋" w:eastAsia="仿宋_GB2312" w:cs="仿宋"/>
          <w:color w:val="000000"/>
          <w:sz w:val="32"/>
          <w:szCs w:val="32"/>
          <w:lang w:val="en-US" w:eastAsia="zh-CN"/>
        </w:rPr>
        <w:t>41</w:t>
      </w:r>
      <w:r>
        <w:rPr>
          <w:rFonts w:hint="eastAsia" w:ascii="仿宋_GB2312" w:hAnsi="仿宋" w:eastAsia="仿宋_GB2312" w:cs="仿宋"/>
          <w:color w:val="000000"/>
          <w:sz w:val="32"/>
          <w:szCs w:val="32"/>
        </w:rPr>
        <w:t>人，比“十一五”期末（</w:t>
      </w:r>
      <w:r>
        <w:rPr>
          <w:rFonts w:hint="eastAsia" w:ascii="仿宋_GB2312" w:hAnsi="仿宋" w:eastAsia="仿宋_GB2312" w:cs="仿宋"/>
          <w:color w:val="000000"/>
          <w:sz w:val="32"/>
          <w:szCs w:val="32"/>
          <w:lang w:val="en-US" w:eastAsia="zh-CN"/>
        </w:rPr>
        <w:t>43</w:t>
      </w:r>
      <w:r>
        <w:rPr>
          <w:rFonts w:hint="eastAsia" w:ascii="仿宋_GB2312" w:hAnsi="仿宋" w:eastAsia="仿宋_GB2312" w:cs="仿宋"/>
          <w:color w:val="000000"/>
          <w:sz w:val="32"/>
          <w:szCs w:val="32"/>
        </w:rPr>
        <w:t>人）下降</w:t>
      </w:r>
      <w:r>
        <w:rPr>
          <w:rFonts w:hint="eastAsia" w:ascii="仿宋_GB2312" w:hAnsi="仿宋" w:eastAsia="仿宋_GB2312" w:cs="仿宋"/>
          <w:color w:val="000000"/>
          <w:sz w:val="32"/>
          <w:szCs w:val="32"/>
          <w:lang w:val="en-US" w:eastAsia="zh-CN"/>
        </w:rPr>
        <w:t>4.89</w:t>
      </w:r>
      <w:r>
        <w:rPr>
          <w:rFonts w:hint="eastAsia" w:ascii="仿宋_GB2312" w:hAnsi="仿宋" w:eastAsia="仿宋_GB2312" w:cs="仿宋"/>
          <w:color w:val="000000"/>
          <w:sz w:val="32"/>
          <w:szCs w:val="32"/>
        </w:rPr>
        <w:t>%；亿元GDP死亡率0.</w:t>
      </w:r>
      <w:r>
        <w:rPr>
          <w:rFonts w:hint="eastAsia" w:ascii="仿宋_GB2312" w:hAnsi="仿宋" w:eastAsia="仿宋_GB2312" w:cs="仿宋"/>
          <w:color w:val="000000"/>
          <w:sz w:val="32"/>
          <w:szCs w:val="32"/>
          <w:lang w:val="en-US" w:eastAsia="zh-CN"/>
        </w:rPr>
        <w:t>09</w:t>
      </w:r>
      <w:r>
        <w:rPr>
          <w:rFonts w:hint="eastAsia" w:ascii="仿宋_GB2312" w:hAnsi="仿宋" w:eastAsia="仿宋_GB2312" w:cs="仿宋"/>
          <w:color w:val="000000"/>
          <w:sz w:val="32"/>
          <w:szCs w:val="32"/>
        </w:rPr>
        <w:t>，比“十一五”期末（0.</w:t>
      </w:r>
      <w:r>
        <w:rPr>
          <w:rFonts w:hint="eastAsia" w:ascii="仿宋_GB2312" w:hAnsi="仿宋" w:eastAsia="仿宋_GB2312" w:cs="仿宋"/>
          <w:color w:val="000000"/>
          <w:sz w:val="32"/>
          <w:szCs w:val="32"/>
          <w:lang w:val="en-US" w:eastAsia="zh-CN"/>
        </w:rPr>
        <w:t>15</w:t>
      </w:r>
      <w:r>
        <w:rPr>
          <w:rFonts w:hint="eastAsia" w:ascii="仿宋_GB2312" w:hAnsi="仿宋" w:eastAsia="仿宋_GB2312" w:cs="仿宋"/>
          <w:color w:val="000000"/>
          <w:sz w:val="32"/>
          <w:szCs w:val="32"/>
        </w:rPr>
        <w:t>）下降</w:t>
      </w:r>
      <w:r>
        <w:rPr>
          <w:rFonts w:hint="eastAsia" w:ascii="仿宋_GB2312" w:hAnsi="仿宋" w:eastAsia="仿宋_GB2312" w:cs="仿宋"/>
          <w:color w:val="000000"/>
          <w:sz w:val="32"/>
          <w:szCs w:val="32"/>
          <w:lang w:val="en-US" w:eastAsia="zh-CN"/>
        </w:rPr>
        <w:t>40.0</w:t>
      </w:r>
      <w:r>
        <w:rPr>
          <w:rFonts w:hint="eastAsia" w:ascii="仿宋_GB2312" w:hAnsi="仿宋" w:eastAsia="仿宋_GB2312" w:cs="仿宋"/>
          <w:color w:val="000000"/>
          <w:sz w:val="32"/>
          <w:szCs w:val="32"/>
        </w:rPr>
        <w:t>%。</w:t>
      </w:r>
    </w:p>
    <w:tbl>
      <w:tblPr>
        <w:tblStyle w:val="7"/>
        <w:tblpPr w:leftFromText="180" w:rightFromText="180" w:vertAnchor="text" w:horzAnchor="page" w:tblpXSpec="center" w:tblpY="81"/>
        <w:tblOverlap w:val="never"/>
        <w:tblW w:w="9114" w:type="dxa"/>
        <w:jc w:val="center"/>
        <w:tblInd w:w="0" w:type="dxa"/>
        <w:tblBorders>
          <w:top w:val="single" w:color="auto" w:sz="8" w:space="0"/>
          <w:left w:val="single" w:color="auto" w:sz="8" w:space="0"/>
          <w:bottom w:val="single" w:color="auto" w:sz="8" w:space="0"/>
          <w:right w:val="single" w:color="auto" w:sz="8" w:space="0"/>
          <w:insideH w:val="dotted" w:color="auto" w:sz="4" w:space="0"/>
          <w:insideV w:val="single" w:color="auto" w:sz="6" w:space="0"/>
        </w:tblBorders>
        <w:tblLayout w:type="fixed"/>
        <w:tblCellMar>
          <w:top w:w="0" w:type="dxa"/>
          <w:left w:w="108" w:type="dxa"/>
          <w:bottom w:w="0" w:type="dxa"/>
          <w:right w:w="108" w:type="dxa"/>
        </w:tblCellMar>
      </w:tblPr>
      <w:tblGrid>
        <w:gridCol w:w="810"/>
        <w:gridCol w:w="3090"/>
        <w:gridCol w:w="1370"/>
        <w:gridCol w:w="3844"/>
      </w:tblGrid>
      <w:tr>
        <w:tblPrEx>
          <w:tblBorders>
            <w:top w:val="single" w:color="auto" w:sz="8" w:space="0"/>
            <w:left w:val="single" w:color="auto" w:sz="8" w:space="0"/>
            <w:bottom w:val="single" w:color="auto" w:sz="8" w:space="0"/>
            <w:right w:val="single" w:color="auto" w:sz="8" w:space="0"/>
            <w:insideH w:val="dotted" w:color="auto" w:sz="4" w:space="0"/>
            <w:insideV w:val="single" w:color="auto" w:sz="6" w:space="0"/>
          </w:tblBorders>
          <w:tblLayout w:type="fixed"/>
          <w:tblCellMar>
            <w:top w:w="0" w:type="dxa"/>
            <w:left w:w="108" w:type="dxa"/>
            <w:bottom w:w="0" w:type="dxa"/>
            <w:right w:w="108" w:type="dxa"/>
          </w:tblCellMar>
        </w:tblPrEx>
        <w:trPr>
          <w:trHeight w:val="683" w:hRule="atLeast"/>
          <w:jc w:val="center"/>
        </w:trPr>
        <w:tc>
          <w:tcPr>
            <w:tcW w:w="9114" w:type="dxa"/>
            <w:gridSpan w:val="4"/>
            <w:tcBorders>
              <w:bottom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b/>
                <w:bCs/>
                <w:color w:val="000000"/>
                <w:szCs w:val="32"/>
              </w:rPr>
              <w:t>专栏1  安全生产“十二五”时期主要指标完成情况</w:t>
            </w:r>
          </w:p>
        </w:tc>
      </w:tr>
      <w:tr>
        <w:tblPrEx>
          <w:tblBorders>
            <w:top w:val="single" w:color="auto" w:sz="8" w:space="0"/>
            <w:left w:val="single" w:color="auto" w:sz="8" w:space="0"/>
            <w:bottom w:val="single" w:color="auto" w:sz="8" w:space="0"/>
            <w:right w:val="single" w:color="auto" w:sz="8" w:space="0"/>
            <w:insideH w:val="dotted" w:color="auto" w:sz="4" w:space="0"/>
            <w:insideV w:val="single" w:color="auto" w:sz="6" w:space="0"/>
          </w:tblBorders>
          <w:tblLayout w:type="fixed"/>
          <w:tblCellMar>
            <w:top w:w="0" w:type="dxa"/>
            <w:left w:w="108" w:type="dxa"/>
            <w:bottom w:w="0" w:type="dxa"/>
            <w:right w:w="108" w:type="dxa"/>
          </w:tblCellMar>
        </w:tblPrEx>
        <w:trPr>
          <w:trHeight w:val="659" w:hRule="atLeast"/>
          <w:jc w:val="center"/>
        </w:trPr>
        <w:tc>
          <w:tcPr>
            <w:tcW w:w="810" w:type="dxa"/>
            <w:tcBorders>
              <w:bottom w:val="single" w:color="auto" w:sz="4" w:space="0"/>
              <w:right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color w:val="000000"/>
                <w:szCs w:val="32"/>
              </w:rPr>
              <w:t>序号</w:t>
            </w:r>
          </w:p>
        </w:tc>
        <w:tc>
          <w:tcPr>
            <w:tcW w:w="3090" w:type="dxa"/>
            <w:tcBorders>
              <w:left w:val="single" w:color="auto" w:sz="4" w:space="0"/>
              <w:bottom w:val="single" w:color="auto" w:sz="4" w:space="0"/>
              <w:right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color w:val="000000"/>
                <w:szCs w:val="32"/>
              </w:rPr>
              <w:t>指标名称</w:t>
            </w:r>
          </w:p>
        </w:tc>
        <w:tc>
          <w:tcPr>
            <w:tcW w:w="1370" w:type="dxa"/>
            <w:tcBorders>
              <w:left w:val="single" w:color="auto" w:sz="4" w:space="0"/>
              <w:bottom w:val="single" w:color="auto" w:sz="4" w:space="0"/>
              <w:right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color w:val="000000"/>
                <w:szCs w:val="32"/>
              </w:rPr>
              <w:t>规划值</w:t>
            </w:r>
          </w:p>
        </w:tc>
        <w:tc>
          <w:tcPr>
            <w:tcW w:w="3844" w:type="dxa"/>
            <w:tcBorders>
              <w:left w:val="single" w:color="auto" w:sz="4" w:space="0"/>
              <w:bottom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color w:val="000000"/>
                <w:szCs w:val="32"/>
              </w:rPr>
              <w:t>完成情况</w:t>
            </w:r>
          </w:p>
        </w:tc>
      </w:tr>
      <w:tr>
        <w:tblPrEx>
          <w:tblBorders>
            <w:top w:val="single" w:color="auto" w:sz="8" w:space="0"/>
            <w:left w:val="single" w:color="auto" w:sz="8" w:space="0"/>
            <w:bottom w:val="single" w:color="auto" w:sz="8" w:space="0"/>
            <w:right w:val="single" w:color="auto" w:sz="8" w:space="0"/>
            <w:insideH w:val="dotted" w:color="auto" w:sz="4" w:space="0"/>
            <w:insideV w:val="single" w:color="auto" w:sz="6" w:space="0"/>
          </w:tblBorders>
          <w:tblLayout w:type="fixed"/>
          <w:tblCellMar>
            <w:top w:w="0" w:type="dxa"/>
            <w:left w:w="108" w:type="dxa"/>
            <w:bottom w:w="0" w:type="dxa"/>
            <w:right w:w="108" w:type="dxa"/>
          </w:tblCellMar>
        </w:tblPrEx>
        <w:trPr>
          <w:trHeight w:val="1486" w:hRule="atLeast"/>
          <w:jc w:val="center"/>
        </w:trPr>
        <w:tc>
          <w:tcPr>
            <w:tcW w:w="810" w:type="dxa"/>
            <w:tcBorders>
              <w:top w:val="single" w:color="auto" w:sz="4" w:space="0"/>
              <w:bottom w:val="single" w:color="auto" w:sz="4" w:space="0"/>
              <w:right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color w:val="000000"/>
                <w:szCs w:val="32"/>
              </w:rPr>
              <w:t>1</w:t>
            </w:r>
          </w:p>
        </w:tc>
        <w:tc>
          <w:tcPr>
            <w:tcW w:w="3090" w:type="dxa"/>
            <w:tcBorders>
              <w:top w:val="single" w:color="auto" w:sz="4" w:space="0"/>
              <w:left w:val="single" w:color="auto" w:sz="4" w:space="0"/>
              <w:bottom w:val="single" w:color="auto" w:sz="4" w:space="0"/>
              <w:right w:val="single" w:color="auto" w:sz="4" w:space="0"/>
            </w:tcBorders>
            <w:vAlign w:val="center"/>
          </w:tcPr>
          <w:p>
            <w:pPr>
              <w:pStyle w:val="13"/>
              <w:pageBreakBefore w:val="0"/>
              <w:kinsoku/>
              <w:wordWrap/>
              <w:overflowPunct/>
              <w:autoSpaceDE w:val="0"/>
              <w:autoSpaceDN w:val="0"/>
              <w:bidi w:val="0"/>
              <w:adjustRightInd w:val="0"/>
              <w:snapToGrid/>
              <w:spacing w:line="560" w:lineRule="exact"/>
              <w:contextualSpacing/>
              <w:textAlignment w:val="auto"/>
              <w:rPr>
                <w:rFonts w:hint="eastAsia" w:ascii="仿宋_GB2312" w:hAnsi="仿宋" w:cs="仿宋"/>
                <w:color w:val="000000"/>
                <w:kern w:val="0"/>
                <w:szCs w:val="32"/>
              </w:rPr>
            </w:pPr>
            <w:r>
              <w:rPr>
                <w:rFonts w:hint="eastAsia" w:ascii="仿宋_GB2312" w:hAnsi="仿宋" w:cs="仿宋"/>
                <w:color w:val="000000"/>
                <w:kern w:val="0"/>
                <w:szCs w:val="32"/>
              </w:rPr>
              <w:t>亿元国内生产总值生产安全事故死亡率</w:t>
            </w:r>
          </w:p>
        </w:tc>
        <w:tc>
          <w:tcPr>
            <w:tcW w:w="1370" w:type="dxa"/>
            <w:tcBorders>
              <w:top w:val="single" w:color="auto" w:sz="4" w:space="0"/>
              <w:left w:val="single" w:color="auto" w:sz="4" w:space="0"/>
              <w:bottom w:val="single" w:color="auto" w:sz="4" w:space="0"/>
              <w:right w:val="single" w:color="auto" w:sz="4" w:space="0"/>
            </w:tcBorders>
            <w:vAlign w:val="center"/>
          </w:tcPr>
          <w:p>
            <w:pPr>
              <w:pStyle w:val="13"/>
              <w:pageBreakBefore w:val="0"/>
              <w:kinsoku/>
              <w:wordWrap/>
              <w:overflowPunct/>
              <w:autoSpaceDE w:val="0"/>
              <w:autoSpaceDN w:val="0"/>
              <w:bidi w:val="0"/>
              <w:adjustRightInd w:val="0"/>
              <w:snapToGrid/>
              <w:spacing w:line="560" w:lineRule="exact"/>
              <w:contextualSpacing/>
              <w:jc w:val="center"/>
              <w:textAlignment w:val="auto"/>
              <w:rPr>
                <w:rFonts w:hint="eastAsia" w:ascii="仿宋_GB2312" w:hAnsi="仿宋" w:eastAsia="仿宋_GB2312" w:cs="仿宋"/>
                <w:color w:val="000000"/>
                <w:kern w:val="0"/>
                <w:szCs w:val="32"/>
                <w:lang w:val="en-US" w:eastAsia="zh-CN"/>
              </w:rPr>
            </w:pPr>
            <w:r>
              <w:rPr>
                <w:rFonts w:hint="eastAsia" w:ascii="仿宋_GB2312" w:hAnsi="仿宋" w:cs="仿宋"/>
                <w:color w:val="000000"/>
                <w:kern w:val="0"/>
                <w:szCs w:val="32"/>
              </w:rPr>
              <w:t>0.</w:t>
            </w:r>
            <w:r>
              <w:rPr>
                <w:rFonts w:hint="eastAsia" w:ascii="仿宋_GB2312" w:hAnsi="仿宋" w:cs="仿宋"/>
                <w:color w:val="000000"/>
                <w:kern w:val="0"/>
                <w:szCs w:val="32"/>
                <w:lang w:val="en-US" w:eastAsia="zh-CN"/>
              </w:rPr>
              <w:t>09</w:t>
            </w:r>
          </w:p>
        </w:tc>
        <w:tc>
          <w:tcPr>
            <w:tcW w:w="3844" w:type="dxa"/>
            <w:tcBorders>
              <w:top w:val="single" w:color="auto" w:sz="4" w:space="0"/>
              <w:left w:val="single" w:color="auto" w:sz="4" w:space="0"/>
              <w:bottom w:val="single" w:color="auto" w:sz="4" w:space="0"/>
            </w:tcBorders>
            <w:vAlign w:val="center"/>
          </w:tcPr>
          <w:p>
            <w:pPr>
              <w:pStyle w:val="13"/>
              <w:pageBreakBefore w:val="0"/>
              <w:kinsoku/>
              <w:wordWrap/>
              <w:overflowPunct/>
              <w:autoSpaceDE w:val="0"/>
              <w:autoSpaceDN w:val="0"/>
              <w:bidi w:val="0"/>
              <w:adjustRightInd w:val="0"/>
              <w:snapToGrid/>
              <w:spacing w:line="560" w:lineRule="exact"/>
              <w:contextualSpacing/>
              <w:textAlignment w:val="auto"/>
              <w:rPr>
                <w:rFonts w:hint="eastAsia" w:ascii="仿宋_GB2312" w:hAnsi="仿宋" w:cs="仿宋"/>
                <w:color w:val="000000"/>
                <w:kern w:val="0"/>
                <w:szCs w:val="32"/>
              </w:rPr>
            </w:pPr>
            <w:r>
              <w:rPr>
                <w:rFonts w:hint="eastAsia" w:ascii="仿宋_GB2312" w:hAnsi="仿宋" w:cs="仿宋"/>
                <w:color w:val="000000"/>
                <w:kern w:val="0"/>
                <w:szCs w:val="32"/>
              </w:rPr>
              <w:t>2015年为0.</w:t>
            </w:r>
            <w:r>
              <w:rPr>
                <w:rFonts w:hint="eastAsia" w:ascii="仿宋_GB2312" w:hAnsi="仿宋" w:cs="仿宋"/>
                <w:color w:val="000000"/>
                <w:kern w:val="0"/>
                <w:szCs w:val="32"/>
                <w:lang w:val="en-US" w:eastAsia="zh-CN"/>
              </w:rPr>
              <w:t>09</w:t>
            </w:r>
            <w:r>
              <w:rPr>
                <w:rFonts w:hint="eastAsia" w:ascii="仿宋_GB2312" w:hAnsi="仿宋" w:cs="仿宋"/>
                <w:color w:val="000000"/>
                <w:kern w:val="0"/>
                <w:szCs w:val="32"/>
              </w:rPr>
              <w:t>，比2010年（0.</w:t>
            </w:r>
            <w:r>
              <w:rPr>
                <w:rFonts w:hint="eastAsia" w:ascii="仿宋_GB2312" w:hAnsi="仿宋" w:cs="仿宋"/>
                <w:color w:val="000000"/>
                <w:kern w:val="0"/>
                <w:szCs w:val="32"/>
                <w:lang w:val="en-US" w:eastAsia="zh-CN"/>
              </w:rPr>
              <w:t>15</w:t>
            </w:r>
            <w:r>
              <w:rPr>
                <w:rFonts w:hint="eastAsia" w:ascii="仿宋_GB2312" w:hAnsi="仿宋" w:cs="仿宋"/>
                <w:color w:val="000000"/>
                <w:kern w:val="0"/>
                <w:szCs w:val="32"/>
              </w:rPr>
              <w:t>）下降</w:t>
            </w:r>
            <w:r>
              <w:rPr>
                <w:rFonts w:hint="eastAsia" w:ascii="仿宋_GB2312" w:hAnsi="仿宋" w:cs="仿宋"/>
                <w:color w:val="000000"/>
                <w:kern w:val="0"/>
                <w:szCs w:val="32"/>
                <w:lang w:val="en-US" w:eastAsia="zh-CN"/>
              </w:rPr>
              <w:t>40.0</w:t>
            </w:r>
            <w:r>
              <w:rPr>
                <w:rFonts w:hint="eastAsia" w:ascii="仿宋_GB2312" w:hAnsi="仿宋" w:cs="仿宋"/>
                <w:color w:val="000000"/>
                <w:kern w:val="0"/>
                <w:szCs w:val="32"/>
              </w:rPr>
              <w:t>%。</w:t>
            </w:r>
          </w:p>
        </w:tc>
      </w:tr>
      <w:tr>
        <w:tblPrEx>
          <w:tblBorders>
            <w:top w:val="single" w:color="auto" w:sz="8" w:space="0"/>
            <w:left w:val="single" w:color="auto" w:sz="8" w:space="0"/>
            <w:bottom w:val="single" w:color="auto" w:sz="8" w:space="0"/>
            <w:right w:val="single" w:color="auto" w:sz="8" w:space="0"/>
            <w:insideH w:val="dotted" w:color="auto" w:sz="4" w:space="0"/>
            <w:insideV w:val="single" w:color="auto" w:sz="6" w:space="0"/>
          </w:tblBorders>
          <w:tblLayout w:type="fixed"/>
          <w:tblCellMar>
            <w:top w:w="0" w:type="dxa"/>
            <w:left w:w="108" w:type="dxa"/>
            <w:bottom w:w="0" w:type="dxa"/>
            <w:right w:w="108" w:type="dxa"/>
          </w:tblCellMar>
        </w:tblPrEx>
        <w:trPr>
          <w:trHeight w:val="1076" w:hRule="atLeast"/>
          <w:jc w:val="center"/>
        </w:trPr>
        <w:tc>
          <w:tcPr>
            <w:tcW w:w="810" w:type="dxa"/>
            <w:tcBorders>
              <w:top w:val="single" w:color="auto" w:sz="4" w:space="0"/>
              <w:bottom w:val="single" w:color="auto" w:sz="4" w:space="0"/>
              <w:right w:val="single" w:color="auto" w:sz="4" w:space="0"/>
            </w:tcBorders>
            <w:vAlign w:val="center"/>
          </w:tcPr>
          <w:p>
            <w:pPr>
              <w:pStyle w:val="13"/>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color w:val="000000"/>
                <w:szCs w:val="32"/>
              </w:rPr>
              <w:t>2</w:t>
            </w:r>
          </w:p>
        </w:tc>
        <w:tc>
          <w:tcPr>
            <w:tcW w:w="3090" w:type="dxa"/>
            <w:tcBorders>
              <w:top w:val="single" w:color="auto" w:sz="4" w:space="0"/>
              <w:left w:val="single" w:color="auto" w:sz="4" w:space="0"/>
              <w:bottom w:val="single" w:color="auto" w:sz="4" w:space="0"/>
              <w:right w:val="single" w:color="auto" w:sz="4" w:space="0"/>
            </w:tcBorders>
            <w:vAlign w:val="center"/>
          </w:tcPr>
          <w:p>
            <w:pPr>
              <w:pStyle w:val="13"/>
              <w:pageBreakBefore w:val="0"/>
              <w:kinsoku/>
              <w:wordWrap/>
              <w:overflowPunct/>
              <w:bidi w:val="0"/>
              <w:snapToGrid/>
              <w:spacing w:line="560" w:lineRule="exact"/>
              <w:contextualSpacing/>
              <w:textAlignment w:val="auto"/>
              <w:rPr>
                <w:rFonts w:hint="eastAsia" w:ascii="仿宋_GB2312" w:hAnsi="仿宋" w:cs="仿宋"/>
                <w:color w:val="000000"/>
                <w:szCs w:val="32"/>
              </w:rPr>
            </w:pPr>
            <w:r>
              <w:rPr>
                <w:rFonts w:hint="eastAsia" w:ascii="仿宋_GB2312" w:hAnsi="仿宋" w:cs="仿宋"/>
                <w:color w:val="000000"/>
                <w:kern w:val="0"/>
                <w:szCs w:val="32"/>
              </w:rPr>
              <w:t>工矿商贸就业人员十万人生产安全事故死亡率</w:t>
            </w:r>
          </w:p>
        </w:tc>
        <w:tc>
          <w:tcPr>
            <w:tcW w:w="1370" w:type="dxa"/>
            <w:tcBorders>
              <w:top w:val="single" w:color="auto" w:sz="4" w:space="0"/>
              <w:left w:val="single" w:color="auto" w:sz="4" w:space="0"/>
              <w:bottom w:val="single" w:color="auto" w:sz="4" w:space="0"/>
              <w:right w:val="single" w:color="auto" w:sz="4" w:space="0"/>
            </w:tcBorders>
            <w:vAlign w:val="center"/>
          </w:tcPr>
          <w:p>
            <w:pPr>
              <w:pStyle w:val="13"/>
              <w:pageBreakBefore w:val="0"/>
              <w:kinsoku/>
              <w:wordWrap/>
              <w:overflowPunct/>
              <w:autoSpaceDE w:val="0"/>
              <w:autoSpaceDN w:val="0"/>
              <w:bidi w:val="0"/>
              <w:adjustRightInd w:val="0"/>
              <w:snapToGrid/>
              <w:spacing w:line="560" w:lineRule="exact"/>
              <w:contextualSpacing/>
              <w:jc w:val="center"/>
              <w:textAlignment w:val="auto"/>
              <w:rPr>
                <w:rFonts w:hint="eastAsia" w:ascii="仿宋_GB2312" w:hAnsi="仿宋" w:eastAsia="仿宋_GB2312" w:cs="仿宋"/>
                <w:color w:val="000000"/>
                <w:kern w:val="0"/>
                <w:szCs w:val="32"/>
                <w:lang w:val="en-US" w:eastAsia="zh-CN"/>
              </w:rPr>
            </w:pPr>
            <w:r>
              <w:rPr>
                <w:rFonts w:hint="eastAsia" w:ascii="仿宋_GB2312" w:hAnsi="仿宋" w:cs="仿宋"/>
                <w:color w:val="000000"/>
                <w:kern w:val="0"/>
                <w:szCs w:val="32"/>
                <w:lang w:val="en-US" w:eastAsia="zh-CN"/>
              </w:rPr>
              <w:t>3.17</w:t>
            </w:r>
          </w:p>
        </w:tc>
        <w:tc>
          <w:tcPr>
            <w:tcW w:w="3844" w:type="dxa"/>
            <w:tcBorders>
              <w:top w:val="single" w:color="auto" w:sz="4" w:space="0"/>
              <w:left w:val="single" w:color="auto" w:sz="4" w:space="0"/>
              <w:bottom w:val="single" w:color="auto" w:sz="4" w:space="0"/>
            </w:tcBorders>
            <w:vAlign w:val="center"/>
          </w:tcPr>
          <w:p>
            <w:pPr>
              <w:pStyle w:val="13"/>
              <w:pageBreakBefore w:val="0"/>
              <w:kinsoku/>
              <w:wordWrap/>
              <w:overflowPunct/>
              <w:autoSpaceDE w:val="0"/>
              <w:autoSpaceDN w:val="0"/>
              <w:bidi w:val="0"/>
              <w:adjustRightInd w:val="0"/>
              <w:snapToGrid/>
              <w:spacing w:line="560" w:lineRule="exact"/>
              <w:contextualSpacing/>
              <w:textAlignment w:val="auto"/>
              <w:rPr>
                <w:rFonts w:hint="eastAsia" w:ascii="仿宋_GB2312" w:hAnsi="仿宋" w:cs="仿宋"/>
                <w:color w:val="000000"/>
                <w:kern w:val="0"/>
                <w:szCs w:val="32"/>
              </w:rPr>
            </w:pPr>
            <w:r>
              <w:rPr>
                <w:rFonts w:hint="eastAsia" w:ascii="仿宋_GB2312" w:hAnsi="仿宋" w:cs="仿宋"/>
                <w:color w:val="000000"/>
                <w:kern w:val="0"/>
                <w:szCs w:val="32"/>
              </w:rPr>
              <w:t>2015年为</w:t>
            </w:r>
            <w:r>
              <w:rPr>
                <w:rFonts w:hint="eastAsia" w:ascii="仿宋_GB2312" w:hAnsi="仿宋" w:cs="仿宋"/>
                <w:color w:val="000000"/>
                <w:kern w:val="0"/>
                <w:szCs w:val="32"/>
                <w:lang w:val="en-US" w:eastAsia="zh-CN"/>
              </w:rPr>
              <w:t>1.15</w:t>
            </w:r>
            <w:r>
              <w:rPr>
                <w:rFonts w:hint="eastAsia" w:ascii="仿宋_GB2312" w:hAnsi="仿宋" w:cs="仿宋"/>
                <w:color w:val="000000"/>
                <w:kern w:val="0"/>
                <w:szCs w:val="32"/>
              </w:rPr>
              <w:t>，比2010年（</w:t>
            </w:r>
            <w:r>
              <w:rPr>
                <w:rFonts w:hint="eastAsia" w:ascii="仿宋_GB2312" w:hAnsi="仿宋" w:cs="仿宋"/>
                <w:color w:val="000000"/>
                <w:kern w:val="0"/>
                <w:szCs w:val="32"/>
                <w:lang w:val="en-US" w:eastAsia="zh-CN"/>
              </w:rPr>
              <w:t>3083</w:t>
            </w:r>
            <w:r>
              <w:rPr>
                <w:rFonts w:hint="eastAsia" w:ascii="仿宋_GB2312" w:hAnsi="仿宋" w:cs="仿宋"/>
                <w:color w:val="000000"/>
                <w:kern w:val="0"/>
                <w:szCs w:val="32"/>
              </w:rPr>
              <w:t>）下降</w:t>
            </w:r>
            <w:r>
              <w:rPr>
                <w:rFonts w:hint="eastAsia" w:ascii="仿宋_GB2312" w:hAnsi="仿宋" w:cs="仿宋"/>
                <w:color w:val="000000"/>
                <w:kern w:val="0"/>
                <w:szCs w:val="32"/>
                <w:lang w:val="en-US" w:eastAsia="zh-CN"/>
              </w:rPr>
              <w:t>69.97</w:t>
            </w:r>
            <w:r>
              <w:rPr>
                <w:rFonts w:hint="eastAsia" w:ascii="仿宋_GB2312" w:hAnsi="仿宋" w:cs="仿宋"/>
                <w:color w:val="000000"/>
                <w:kern w:val="0"/>
                <w:szCs w:val="32"/>
              </w:rPr>
              <w:t>%。</w:t>
            </w:r>
          </w:p>
        </w:tc>
      </w:tr>
    </w:tbl>
    <w:p>
      <w:pPr>
        <w:pStyle w:val="15"/>
        <w:pageBreakBefore w:val="0"/>
        <w:kinsoku/>
        <w:wordWrap/>
        <w:overflowPunct/>
        <w:bidi w:val="0"/>
        <w:snapToGrid/>
        <w:spacing w:line="560" w:lineRule="exact"/>
        <w:textAlignment w:val="auto"/>
        <w:rPr>
          <w:rFonts w:hint="eastAsia" w:ascii="仿宋" w:hAnsi="仿宋" w:eastAsia="仿宋" w:cs="仿宋"/>
          <w:color w:val="000000"/>
          <w:sz w:val="32"/>
          <w:szCs w:val="32"/>
        </w:rPr>
      </w:pPr>
    </w:p>
    <w:p>
      <w:pPr>
        <w:pageBreakBefore w:val="0"/>
        <w:numPr>
          <w:ilvl w:val="0"/>
          <w:numId w:val="1"/>
        </w:numPr>
        <w:kinsoku/>
        <w:wordWrap/>
        <w:overflowPunct/>
        <w:bidi w:val="0"/>
        <w:snapToGrid/>
        <w:spacing w:line="560" w:lineRule="exact"/>
        <w:ind w:firstLine="643" w:firstLineChars="200"/>
        <w:textAlignment w:val="auto"/>
        <w:rPr>
          <w:rFonts w:hint="default" w:ascii="Times New Roman" w:hAnsi="Times New Roman" w:eastAsia="仿宋" w:cs="Times New Roman"/>
        </w:rPr>
      </w:pPr>
      <w:r>
        <w:rPr>
          <w:rFonts w:hint="eastAsia" w:ascii="仿宋_GB2312" w:hAnsi="仿宋" w:eastAsia="仿宋_GB2312" w:cs="仿宋"/>
          <w:b/>
          <w:color w:val="000000"/>
          <w:sz w:val="32"/>
          <w:szCs w:val="32"/>
        </w:rPr>
        <w:t>建立完善安全生产责任体系。</w:t>
      </w:r>
      <w:r>
        <w:rPr>
          <w:rFonts w:hint="default" w:ascii="Times New Roman" w:hAnsi="Times New Roman" w:eastAsia="仿宋" w:cs="Times New Roman"/>
        </w:rPr>
        <w:t>“十二五”期间，推行了党政领导干部安全生产“一岗双责”制度，区、街镇、村</w:t>
      </w:r>
      <w:r>
        <w:rPr>
          <w:rFonts w:hint="default" w:ascii="Times New Roman" w:hAnsi="Times New Roman" w:eastAsia="仿宋" w:cs="Times New Roman"/>
          <w:color w:val="000000" w:themeColor="text1"/>
          <w:lang w:val="en-US" w:eastAsia="zh-CN"/>
          <w14:textFill>
            <w14:solidFill>
              <w14:schemeClr w14:val="tx1"/>
            </w14:solidFill>
          </w14:textFill>
        </w:rPr>
        <w:t>居</w:t>
      </w:r>
      <w:r>
        <w:rPr>
          <w:rFonts w:hint="default" w:ascii="Times New Roman" w:hAnsi="Times New Roman" w:eastAsia="仿宋" w:cs="Times New Roman"/>
        </w:rPr>
        <w:t>以党委政府的名义确立了安全生产“一岗双责”的工作原则，明确了党委和政府及其所有部门都要履行安全生产职责，确定了党政主要领导、分管领导及其他领导在安全生产工作中的责任。落实政府一把手任第一责任人，党委常委、政府常务副职分管安全生产工作。进一步完善党政领导干部安全生产考核制度，实行党政领导干部安全生产工作“一票否决”制度和责任追究制度，还出台了安全生产警示、约谈和联席会议制度。</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 w:eastAsia="仿宋_GB2312" w:cs="仿宋"/>
          <w:b/>
          <w:color w:val="000000"/>
          <w:sz w:val="32"/>
          <w:szCs w:val="32"/>
        </w:rPr>
        <w:t>2.建立健全安全生产应急管理体系。</w:t>
      </w:r>
      <w:r>
        <w:rPr>
          <w:rFonts w:hint="eastAsia" w:ascii="仿宋_GB2312" w:hAnsi="仿宋_GB2312" w:eastAsia="仿宋_GB2312" w:cs="仿宋_GB2312"/>
        </w:rPr>
        <w:t>“十二五”期间，我区修改完善</w:t>
      </w:r>
      <w:r>
        <w:rPr>
          <w:rFonts w:hint="eastAsia" w:ascii="仿宋_GB2312" w:hAnsi="仿宋_GB2312" w:eastAsia="仿宋_GB2312" w:cs="仿宋_GB2312"/>
          <w:bCs/>
          <w:color w:val="000000"/>
        </w:rPr>
        <w:t>生产</w:t>
      </w:r>
      <w:r>
        <w:rPr>
          <w:rFonts w:hint="eastAsia" w:ascii="仿宋_GB2312" w:hAnsi="仿宋_GB2312" w:eastAsia="仿宋_GB2312" w:cs="仿宋_GB2312"/>
        </w:rPr>
        <w:t>安全</w:t>
      </w:r>
      <w:r>
        <w:rPr>
          <w:rFonts w:hint="eastAsia" w:ascii="仿宋_GB2312" w:hAnsi="仿宋_GB2312" w:eastAsia="仿宋_GB2312" w:cs="仿宋_GB2312"/>
          <w:bCs/>
          <w:color w:val="000000"/>
        </w:rPr>
        <w:t>事故应急预案，实行了应急预案评审、备案制度，强化应急预案演练活动，协调部门间事故信息报送工作，逐步建立了上下、左右联动的应急机制。同时加强救援队伍建设，理顺了清远市清城区安全生产应急救援指挥中心</w:t>
      </w:r>
      <w:r>
        <w:rPr>
          <w:rFonts w:hint="eastAsia" w:ascii="仿宋_GB2312" w:hAnsi="仿宋_GB2312" w:eastAsia="仿宋_GB2312" w:cs="仿宋_GB2312"/>
        </w:rPr>
        <w:t>的机构编制，成为区安全监管局下属的一类事业单位。</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szCs w:val="22"/>
        </w:rPr>
      </w:pPr>
      <w:r>
        <w:rPr>
          <w:rFonts w:hint="eastAsia" w:ascii="仿宋_GB2312" w:hAnsi="仿宋" w:eastAsia="仿宋_GB2312" w:cs="仿宋"/>
          <w:b/>
          <w:color w:val="000000"/>
          <w:sz w:val="32"/>
          <w:szCs w:val="32"/>
        </w:rPr>
        <w:t>3.安全生产基层基础</w:t>
      </w:r>
      <w:r>
        <w:rPr>
          <w:rFonts w:hint="eastAsia" w:ascii="仿宋_GB2312" w:hAnsi="仿宋" w:cs="仿宋"/>
          <w:b/>
          <w:color w:val="000000" w:themeColor="text1"/>
          <w:sz w:val="32"/>
          <w:szCs w:val="32"/>
          <w:lang w:eastAsia="zh-CN"/>
          <w14:textFill>
            <w14:solidFill>
              <w14:schemeClr w14:val="tx1"/>
            </w14:solidFill>
          </w14:textFill>
        </w:rPr>
        <w:t>工作</w:t>
      </w:r>
      <w:r>
        <w:rPr>
          <w:rFonts w:hint="eastAsia" w:ascii="仿宋_GB2312" w:hAnsi="仿宋" w:eastAsia="仿宋_GB2312" w:cs="仿宋"/>
          <w:b/>
          <w:color w:val="000000"/>
          <w:sz w:val="32"/>
          <w:szCs w:val="32"/>
        </w:rPr>
        <w:t>进一步加强。</w:t>
      </w:r>
      <w:r>
        <w:rPr>
          <w:rFonts w:hint="eastAsia" w:ascii="仿宋_GB2312" w:hAnsi="仿宋_GB2312" w:eastAsia="仿宋_GB2312" w:cs="仿宋_GB2312"/>
          <w:szCs w:val="22"/>
        </w:rPr>
        <w:t>“十二五”期间，在各级安监部门和政府领导的重视下，我区安监队伍不断壮大。全区安监站现有工作人员118人，其中专职安全员62人，平均每个站13人。2016年，在省、市、区政策的支持下，我区组建了一支62人的专职安全员队伍，大大提升我区基层安全监管力量。同时，</w:t>
      </w:r>
      <w:r>
        <w:rPr>
          <w:rFonts w:hint="eastAsia" w:ascii="仿宋_GB2312" w:hAnsi="仿宋_GB2312" w:eastAsia="仿宋_GB2312" w:cs="仿宋_GB2312"/>
          <w:szCs w:val="22"/>
          <w:lang w:eastAsia="zh-CN"/>
        </w:rPr>
        <w:t>政府</w:t>
      </w:r>
      <w:r>
        <w:rPr>
          <w:rFonts w:hint="eastAsia" w:ascii="仿宋_GB2312" w:hAnsi="仿宋_GB2312" w:eastAsia="仿宋_GB2312" w:cs="仿宋_GB2312"/>
          <w:szCs w:val="22"/>
        </w:rPr>
        <w:t>不断加大对安全生产的投入，设立安全生产专项资金。区政府每年拨付50万元以上专项资金用于全区安全生产重点项目，特别是用于基层安全生产监管监察能力建设，改善办公条件，配备执法装备等。</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 w:eastAsia="仿宋_GB2312" w:cs="仿宋"/>
          <w:b/>
          <w:color w:val="000000"/>
          <w:sz w:val="32"/>
          <w:szCs w:val="32"/>
        </w:rPr>
        <w:t>4.深入推进隐患排查和打非治违工作。</w:t>
      </w:r>
      <w:r>
        <w:rPr>
          <w:rFonts w:hint="eastAsia" w:ascii="仿宋_GB2312" w:hAnsi="仿宋_GB2312" w:eastAsia="仿宋_GB2312" w:cs="仿宋_GB2312"/>
        </w:rPr>
        <w:t>“十二五”期间，各地开展了非煤矿山专项整治，</w:t>
      </w:r>
      <w:r>
        <w:rPr>
          <w:rFonts w:hint="eastAsia" w:ascii="仿宋_GB2312" w:hAnsi="仿宋_GB2312" w:eastAsia="仿宋_GB2312" w:cs="仿宋_GB2312"/>
          <w:bCs/>
          <w:color w:val="000000"/>
        </w:rPr>
        <w:t>打击非法违法探矿、开采行为；开展</w:t>
      </w:r>
      <w:r>
        <w:rPr>
          <w:rFonts w:hint="eastAsia" w:ascii="仿宋_GB2312" w:hAnsi="仿宋_GB2312" w:eastAsia="仿宋_GB2312" w:cs="仿宋_GB2312"/>
        </w:rPr>
        <w:t>非煤矿山整顿</w:t>
      </w:r>
      <w:r>
        <w:rPr>
          <w:rFonts w:hint="eastAsia" w:ascii="仿宋_GB2312" w:hAnsi="仿宋_GB2312" w:eastAsia="仿宋_GB2312" w:cs="仿宋_GB2312"/>
          <w:bCs/>
          <w:color w:val="000000"/>
        </w:rPr>
        <w:t>关闭工作，全区核销并经当地政府关闭的有28家；严格执行烟花</w:t>
      </w:r>
      <w:r>
        <w:rPr>
          <w:rFonts w:hint="eastAsia" w:ascii="仿宋_GB2312" w:hAnsi="仿宋_GB2312" w:eastAsia="仿宋_GB2312" w:cs="仿宋_GB2312"/>
        </w:rPr>
        <w:t>爆竹经营条件，规划全区烟花爆竹企业布局，严厉打击烟花爆竹非法生产经营行为；严格把关工业园区企业准入制度，开展</w:t>
      </w:r>
      <w:r>
        <w:rPr>
          <w:rFonts w:hint="eastAsia" w:ascii="仿宋_GB2312" w:hAnsi="仿宋_GB2312" w:eastAsia="仿宋_GB2312" w:cs="仿宋_GB2312"/>
          <w:bCs/>
          <w:color w:val="000000"/>
        </w:rPr>
        <w:t>化工园区安全风险评估工作；推进冶金等工贸行业专项治理，加强</w:t>
      </w:r>
      <w:r>
        <w:rPr>
          <w:rFonts w:hint="eastAsia" w:ascii="仿宋_GB2312" w:hAnsi="仿宋_GB2312" w:eastAsia="仿宋_GB2312" w:cs="仿宋_GB2312"/>
        </w:rPr>
        <w:t>涉粉尘爆炸危险企业和粉尘作业场所的安全监管</w:t>
      </w:r>
      <w:r>
        <w:rPr>
          <w:rFonts w:hint="eastAsia" w:ascii="仿宋_GB2312" w:hAnsi="仿宋_GB2312" w:eastAsia="仿宋_GB2312" w:cs="仿宋_GB2312"/>
          <w:bCs/>
          <w:color w:val="000000"/>
        </w:rPr>
        <w:t>；同时协调其他行业主管部门开展隐患排查和联合执法工作。</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 w:eastAsia="仿宋_GB2312" w:cs="仿宋"/>
          <w:b/>
          <w:color w:val="000000"/>
          <w:sz w:val="32"/>
          <w:szCs w:val="32"/>
        </w:rPr>
        <w:t>5.推动安全生产标准化规范化建设。</w:t>
      </w:r>
      <w:r>
        <w:rPr>
          <w:rFonts w:hint="eastAsia" w:ascii="仿宋_GB2312" w:hAnsi="仿宋_GB2312" w:eastAsia="仿宋_GB2312" w:cs="仿宋_GB2312"/>
        </w:rPr>
        <w:t>“十二五”期间，全区积极推进企业安全生产标准化创建工作，将其作为提升企业本质安全的一项重要工作，</w:t>
      </w:r>
      <w:r>
        <w:rPr>
          <w:rFonts w:hint="eastAsia" w:ascii="仿宋_GB2312" w:hAnsi="仿宋_GB2312" w:eastAsia="仿宋_GB2312" w:cs="仿宋_GB2312"/>
          <w:bCs/>
          <w:color w:val="000000"/>
        </w:rPr>
        <w:t>全</w:t>
      </w:r>
      <w:r>
        <w:rPr>
          <w:rFonts w:hint="eastAsia" w:ascii="仿宋_GB2312" w:hAnsi="仿宋_GB2312" w:eastAsia="仿宋_GB2312" w:cs="仿宋_GB2312"/>
        </w:rPr>
        <w:t>区167</w:t>
      </w:r>
      <w:r>
        <w:rPr>
          <w:rFonts w:hint="eastAsia" w:ascii="仿宋_GB2312" w:hAnsi="仿宋_GB2312" w:eastAsia="仿宋_GB2312" w:cs="仿宋_GB2312"/>
          <w:bCs/>
          <w:color w:val="000000"/>
        </w:rPr>
        <w:t>家规模以上工贸行业企业完成安全生产标准化达标创建工作</w:t>
      </w:r>
      <w:r>
        <w:rPr>
          <w:rFonts w:hint="eastAsia" w:ascii="仿宋_GB2312" w:hAnsi="仿宋_GB2312" w:eastAsia="仿宋_GB2312" w:cs="仿宋_GB2312"/>
        </w:rPr>
        <w:t>。</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u w:val="single"/>
        </w:rPr>
      </w:pPr>
      <w:r>
        <w:rPr>
          <w:rFonts w:hint="eastAsia" w:ascii="仿宋_GB2312" w:hAnsi="仿宋" w:eastAsia="仿宋_GB2312" w:cs="仿宋"/>
          <w:b/>
          <w:color w:val="000000"/>
          <w:sz w:val="32"/>
          <w:szCs w:val="32"/>
        </w:rPr>
        <w:t>6.提升职业卫生管理工作。</w:t>
      </w:r>
      <w:r>
        <w:rPr>
          <w:rFonts w:hint="eastAsia" w:ascii="仿宋_GB2312" w:hAnsi="仿宋_GB2312" w:eastAsia="仿宋_GB2312" w:cs="仿宋_GB2312"/>
          <w:bCs/>
          <w:color w:val="000000"/>
        </w:rPr>
        <w:t>“十二五”期间，各级加大《职业病防治法》宣传，</w:t>
      </w:r>
      <w:r>
        <w:rPr>
          <w:rFonts w:hint="eastAsia" w:ascii="仿宋_GB2312" w:hAnsi="仿宋_GB2312" w:eastAsia="仿宋_GB2312" w:cs="仿宋_GB2312"/>
        </w:rPr>
        <w:t>大力提高全民对职业卫生工作的认识和重视。积极推进用人单位开展职业危害项目申报工作，开展创建职业卫生基础达标工作，落实用人单位职业病防治主体责任，提高职业卫生管理水平。</w:t>
      </w:r>
      <w:r>
        <w:rPr>
          <w:rFonts w:hint="eastAsia" w:ascii="仿宋_GB2312" w:hAnsi="仿宋_GB2312" w:eastAsia="仿宋_GB2312" w:cs="仿宋_GB2312"/>
          <w:bCs/>
          <w:color w:val="000000"/>
        </w:rPr>
        <w:t>建立职业卫生监管部门间协作配合机制，出台了群体性职业病危害事件应急处置预案和职业卫生监管工作联络会议制度，开展职业卫生执法监察</w:t>
      </w:r>
      <w:r>
        <w:rPr>
          <w:rFonts w:hint="eastAsia" w:ascii="仿宋_GB2312" w:hAnsi="仿宋_GB2312" w:eastAsia="仿宋_GB2312" w:cs="仿宋_GB2312"/>
        </w:rPr>
        <w:t>联合行动。</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 w:eastAsia="仿宋_GB2312" w:cs="仿宋"/>
          <w:b/>
          <w:color w:val="000000"/>
          <w:sz w:val="32"/>
          <w:szCs w:val="32"/>
        </w:rPr>
        <w:t>7.不断深化行政审批制度及后续监管改革。</w:t>
      </w:r>
      <w:r>
        <w:rPr>
          <w:rFonts w:hint="eastAsia" w:ascii="仿宋_GB2312" w:hAnsi="仿宋_GB2312" w:eastAsia="仿宋_GB2312" w:cs="仿宋_GB2312"/>
          <w:bCs/>
          <w:color w:val="000000"/>
        </w:rPr>
        <w:t>“十二五”期间，全</w:t>
      </w:r>
      <w:r>
        <w:rPr>
          <w:rFonts w:hint="eastAsia" w:ascii="仿宋_GB2312" w:hAnsi="仿宋_GB2312" w:eastAsia="仿宋_GB2312" w:cs="仿宋_GB2312"/>
        </w:rPr>
        <w:t>区认真落实十八大关于深化行政审批制度改革的精神，</w:t>
      </w:r>
      <w:r>
        <w:rPr>
          <w:rFonts w:hint="eastAsia" w:ascii="仿宋_GB2312" w:hAnsi="仿宋_GB2312" w:eastAsia="仿宋_GB2312" w:cs="仿宋_GB2312"/>
          <w:bCs/>
          <w:color w:val="000000"/>
        </w:rPr>
        <w:t>着力推进简政放权，采取了一系列措施：</w:t>
      </w:r>
      <w:r>
        <w:rPr>
          <w:rFonts w:hint="eastAsia" w:ascii="仿宋_GB2312" w:hAnsi="仿宋_GB2312" w:eastAsia="仿宋_GB2312" w:cs="仿宋_GB2312"/>
        </w:rPr>
        <w:t>推行行政审批“两集中、三到位”，</w:t>
      </w:r>
      <w:r>
        <w:rPr>
          <w:rFonts w:hint="eastAsia" w:ascii="仿宋_GB2312" w:hAnsi="仿宋_GB2312" w:eastAsia="仿宋_GB2312" w:cs="仿宋_GB2312"/>
          <w:lang w:val="en-US" w:eastAsia="zh-CN"/>
        </w:rPr>
        <w:t>在</w:t>
      </w:r>
      <w:r>
        <w:rPr>
          <w:rFonts w:hint="eastAsia" w:ascii="仿宋_GB2312" w:hAnsi="仿宋_GB2312" w:eastAsia="仿宋_GB2312" w:cs="仿宋_GB2312"/>
        </w:rPr>
        <w:t>政务服务中心</w:t>
      </w:r>
      <w:r>
        <w:rPr>
          <w:rFonts w:hint="eastAsia" w:ascii="仿宋_GB2312" w:hAnsi="仿宋_GB2312" w:eastAsia="仿宋_GB2312" w:cs="仿宋_GB2312"/>
          <w:lang w:val="en-US" w:eastAsia="zh-CN"/>
        </w:rPr>
        <w:t>设立综合服务窗口</w:t>
      </w:r>
      <w:r>
        <w:rPr>
          <w:rFonts w:hint="eastAsia" w:ascii="仿宋_GB2312" w:hAnsi="仿宋_GB2312" w:eastAsia="仿宋_GB2312" w:cs="仿宋_GB2312"/>
        </w:rPr>
        <w:t>办理。梳理行政审批事项，进一步简化审批程序，压缩审批时限。推进行政审批标准化工作，实现网上办事。编制安监部门权责清单，全力推进技术审查市场化工作。强化后续监管，整理商事登记改革后续监管清单。</w:t>
      </w:r>
    </w:p>
    <w:p>
      <w:pPr>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rPr>
      </w:pPr>
      <w:r>
        <w:rPr>
          <w:rFonts w:hint="eastAsia" w:ascii="仿宋_GB2312" w:hAnsi="仿宋" w:eastAsia="仿宋_GB2312" w:cs="仿宋"/>
          <w:b/>
          <w:color w:val="000000"/>
          <w:sz w:val="32"/>
          <w:szCs w:val="32"/>
        </w:rPr>
        <w:t>8.加大安全宣传和培训教育。</w:t>
      </w:r>
      <w:r>
        <w:rPr>
          <w:rFonts w:hint="eastAsia" w:ascii="仿宋_GB2312" w:hAnsi="仿宋_GB2312" w:eastAsia="仿宋_GB2312" w:cs="仿宋_GB2312"/>
          <w:bCs/>
          <w:color w:val="000000"/>
        </w:rPr>
        <w:t>“十二五”期间，全区</w:t>
      </w:r>
      <w:r>
        <w:rPr>
          <w:rFonts w:hint="eastAsia" w:ascii="仿宋_GB2312" w:hAnsi="仿宋_GB2312" w:eastAsia="仿宋_GB2312" w:cs="仿宋_GB2312"/>
        </w:rPr>
        <w:t>加大培训力度，积极配合市安全监管局对各级政府分管安全生产的领导干部、安监系统工作人员以及企业主要负责人、安全管理人员、特种作业人员进行全面安全生产培训。加强安全生产文化建设，创建安全社区，办好每年“安全生产月”等活动，大力宣传新修订的《安全生产法》、《广东省安全生产条例》，普及安全知识，提高全民安全生产意识和事故防范能力。强化信息公开和新闻发布工作，建设安全生产重点领域信息公开专栏。建立社会监督机制，宣传安全生产投诉举报电话“12350”和政府服务热线电话“12345”。</w:t>
      </w:r>
    </w:p>
    <w:p>
      <w:pPr>
        <w:pStyle w:val="15"/>
        <w:pageBreakBefore w:val="0"/>
        <w:kinsoku/>
        <w:wordWrap/>
        <w:overflowPunct/>
        <w:bidi w:val="0"/>
        <w:snapToGrid/>
        <w:spacing w:line="560" w:lineRule="exact"/>
        <w:ind w:firstLine="640" w:firstLineChars="200"/>
        <w:textAlignment w:val="auto"/>
        <w:rPr>
          <w:rFonts w:hint="eastAsia" w:ascii="楷体_GB2312" w:hAnsi="仿宋" w:eastAsia="楷体_GB2312" w:cs="仿宋"/>
          <w:bCs/>
          <w:color w:val="000000"/>
          <w:sz w:val="32"/>
          <w:szCs w:val="32"/>
        </w:rPr>
      </w:pPr>
      <w:r>
        <w:rPr>
          <w:rFonts w:hint="eastAsia" w:ascii="楷体_GB2312" w:hAnsi="仿宋" w:eastAsia="楷体_GB2312" w:cs="仿宋"/>
          <w:bCs/>
          <w:color w:val="000000"/>
          <w:sz w:val="32"/>
          <w:szCs w:val="32"/>
        </w:rPr>
        <w:t>（二）存在的问题与不足。</w:t>
      </w:r>
    </w:p>
    <w:p>
      <w:pPr>
        <w:pStyle w:val="15"/>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color w:val="000000"/>
          <w:sz w:val="32"/>
          <w:szCs w:val="32"/>
          <w:u w:val="none"/>
        </w:rPr>
      </w:pPr>
      <w:r>
        <w:rPr>
          <w:rFonts w:hint="eastAsia" w:ascii="仿宋_GB2312" w:hAnsi="仿宋" w:eastAsia="仿宋_GB2312" w:cs="仿宋"/>
          <w:b/>
          <w:color w:val="000000"/>
          <w:sz w:val="32"/>
          <w:szCs w:val="32"/>
        </w:rPr>
        <w:t>1．安全生产和职业病防治形势依然严峻。</w:t>
      </w:r>
      <w:r>
        <w:rPr>
          <w:rFonts w:hint="eastAsia" w:ascii="仿宋_GB2312" w:hAnsi="仿宋_GB2312" w:eastAsia="仿宋_GB2312" w:cs="仿宋_GB2312"/>
          <w:color w:val="000000"/>
          <w:kern w:val="0"/>
          <w:sz w:val="32"/>
          <w:szCs w:val="32"/>
        </w:rPr>
        <w:t>主要表现在：事故总量大，死亡人数多，较大事故未得到有效控制，特别是道路交通事故。</w:t>
      </w:r>
      <w:r>
        <w:rPr>
          <w:rFonts w:hint="eastAsia" w:ascii="仿宋_GB2312" w:hAnsi="仿宋_GB2312" w:eastAsia="仿宋_GB2312" w:cs="仿宋_GB2312"/>
          <w:color w:val="000000" w:themeColor="text1"/>
          <w:kern w:val="0"/>
          <w:sz w:val="32"/>
          <w:szCs w:val="32"/>
          <w:u w:val="none"/>
          <w14:textFill>
            <w14:solidFill>
              <w14:schemeClr w14:val="tx1"/>
            </w14:solidFill>
          </w14:textFill>
        </w:rPr>
        <w:t>2011年至2015年间，全</w:t>
      </w:r>
      <w:r>
        <w:rPr>
          <w:rFonts w:hint="eastAsia" w:ascii="仿宋_GB2312" w:hAnsi="仿宋_GB2312" w:eastAsia="仿宋_GB2312" w:cs="仿宋_GB2312"/>
          <w:color w:val="000000" w:themeColor="text1"/>
          <w:kern w:val="0"/>
          <w:sz w:val="32"/>
          <w:szCs w:val="32"/>
          <w:u w:val="none"/>
          <w:lang w:val="en-US" w:eastAsia="zh-CN"/>
          <w14:textFill>
            <w14:solidFill>
              <w14:schemeClr w14:val="tx1"/>
            </w14:solidFill>
          </w14:textFill>
        </w:rPr>
        <w:t>区</w:t>
      </w:r>
      <w:r>
        <w:rPr>
          <w:rFonts w:hint="eastAsia" w:ascii="仿宋_GB2312" w:hAnsi="仿宋_GB2312" w:eastAsia="仿宋_GB2312" w:cs="仿宋_GB2312"/>
          <w:color w:val="000000" w:themeColor="text1"/>
          <w:kern w:val="0"/>
          <w:sz w:val="32"/>
          <w:szCs w:val="32"/>
          <w:u w:val="none"/>
          <w14:textFill>
            <w14:solidFill>
              <w14:schemeClr w14:val="tx1"/>
            </w14:solidFill>
          </w14:textFill>
        </w:rPr>
        <w:t>共发生各类安全事故</w:t>
      </w:r>
      <w:r>
        <w:rPr>
          <w:rFonts w:hint="eastAsia" w:ascii="仿宋_GB2312" w:hAnsi="仿宋_GB2312" w:eastAsia="仿宋_GB2312" w:cs="仿宋_GB2312"/>
          <w:color w:val="000000" w:themeColor="text1"/>
          <w:kern w:val="0"/>
          <w:sz w:val="32"/>
          <w:szCs w:val="32"/>
          <w:u w:val="none"/>
          <w:lang w:val="en-US" w:eastAsia="zh-CN"/>
          <w14:textFill>
            <w14:solidFill>
              <w14:schemeClr w14:val="tx1"/>
            </w14:solidFill>
          </w14:textFill>
        </w:rPr>
        <w:t>2324</w:t>
      </w:r>
      <w:r>
        <w:rPr>
          <w:rFonts w:hint="eastAsia" w:ascii="仿宋_GB2312" w:hAnsi="仿宋_GB2312" w:eastAsia="仿宋_GB2312" w:cs="仿宋_GB2312"/>
          <w:color w:val="000000" w:themeColor="text1"/>
          <w:kern w:val="0"/>
          <w:sz w:val="32"/>
          <w:szCs w:val="32"/>
          <w:u w:val="none"/>
          <w14:textFill>
            <w14:solidFill>
              <w14:schemeClr w14:val="tx1"/>
            </w14:solidFill>
          </w14:textFill>
        </w:rPr>
        <w:t>起，死亡</w:t>
      </w:r>
      <w:r>
        <w:rPr>
          <w:rFonts w:hint="eastAsia" w:ascii="仿宋_GB2312" w:hAnsi="仿宋_GB2312" w:eastAsia="仿宋_GB2312" w:cs="仿宋_GB2312"/>
          <w:color w:val="000000" w:themeColor="text1"/>
          <w:kern w:val="0"/>
          <w:sz w:val="32"/>
          <w:szCs w:val="32"/>
          <w:u w:val="none"/>
          <w:lang w:val="en-US" w:eastAsia="zh-CN"/>
          <w14:textFill>
            <w14:solidFill>
              <w14:schemeClr w14:val="tx1"/>
            </w14:solidFill>
          </w14:textFill>
        </w:rPr>
        <w:t>256</w:t>
      </w:r>
      <w:r>
        <w:rPr>
          <w:rFonts w:hint="eastAsia" w:ascii="仿宋_GB2312" w:hAnsi="仿宋_GB2312" w:eastAsia="仿宋_GB2312" w:cs="仿宋_GB2312"/>
          <w:color w:val="000000" w:themeColor="text1"/>
          <w:kern w:val="0"/>
          <w:sz w:val="32"/>
          <w:szCs w:val="32"/>
          <w:u w:val="none"/>
          <w14:textFill>
            <w14:solidFill>
              <w14:schemeClr w14:val="tx1"/>
            </w14:solidFill>
          </w14:textFill>
        </w:rPr>
        <w:t>人；</w:t>
      </w:r>
      <w:r>
        <w:rPr>
          <w:rFonts w:hint="eastAsia" w:ascii="仿宋_GB2312" w:hAnsi="仿宋_GB2312" w:eastAsia="仿宋_GB2312" w:cs="仿宋_GB2312"/>
          <w:color w:val="000000" w:themeColor="text1"/>
          <w:kern w:val="0"/>
          <w:sz w:val="32"/>
          <w:szCs w:val="32"/>
          <w:u w:val="none"/>
          <w:lang w:eastAsia="zh-CN"/>
          <w14:textFill>
            <w14:solidFill>
              <w14:schemeClr w14:val="tx1"/>
            </w14:solidFill>
          </w14:textFill>
        </w:rPr>
        <w:t>无</w:t>
      </w:r>
      <w:r>
        <w:rPr>
          <w:rFonts w:hint="eastAsia" w:ascii="仿宋_GB2312" w:hAnsi="仿宋_GB2312" w:eastAsia="仿宋_GB2312" w:cs="仿宋_GB2312"/>
          <w:color w:val="000000" w:themeColor="text1"/>
          <w:kern w:val="0"/>
          <w:sz w:val="32"/>
          <w:szCs w:val="32"/>
          <w:u w:val="none"/>
          <w14:textFill>
            <w14:solidFill>
              <w14:schemeClr w14:val="tx1"/>
            </w14:solidFill>
          </w14:textFill>
        </w:rPr>
        <w:t>发生较大安全事故</w:t>
      </w:r>
      <w:r>
        <w:rPr>
          <w:rFonts w:hint="eastAsia" w:ascii="仿宋_GB2312" w:hAnsi="仿宋_GB2312" w:eastAsia="仿宋_GB2312" w:cs="仿宋_GB2312"/>
          <w:color w:val="000000" w:themeColor="text1"/>
          <w:sz w:val="32"/>
          <w:szCs w:val="32"/>
          <w:u w:val="none"/>
          <w14:textFill>
            <w14:solidFill>
              <w14:schemeClr w14:val="tx1"/>
            </w14:solidFill>
          </w14:textFill>
        </w:rPr>
        <w:t>；全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区</w:t>
      </w:r>
      <w:r>
        <w:rPr>
          <w:rFonts w:hint="eastAsia" w:ascii="仿宋_GB2312" w:hAnsi="仿宋_GB2312" w:eastAsia="仿宋_GB2312" w:cs="仿宋_GB2312"/>
          <w:color w:val="000000" w:themeColor="text1"/>
          <w:sz w:val="32"/>
          <w:szCs w:val="32"/>
          <w:u w:val="none"/>
          <w14:textFill>
            <w14:solidFill>
              <w14:schemeClr w14:val="tx1"/>
            </w14:solidFill>
          </w14:textFill>
        </w:rPr>
        <w:t>生产经营性道路交通事故</w:t>
      </w:r>
      <w:r>
        <w:rPr>
          <w:rFonts w:hint="eastAsia" w:ascii="仿宋_GB2312" w:hAnsi="仿宋_GB2312" w:eastAsia="仿宋_GB2312" w:cs="仿宋_GB2312"/>
          <w:color w:val="000000" w:themeColor="text1"/>
          <w:sz w:val="32"/>
          <w:szCs w:val="32"/>
          <w:u w:val="none"/>
          <w14:textFill>
            <w14:solidFill>
              <w14:schemeClr w14:val="tx1"/>
            </w14:solidFill>
          </w14:textFill>
        </w:rPr>
        <w:t>死亡人数在全</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区</w:t>
      </w:r>
      <w:r>
        <w:rPr>
          <w:rFonts w:hint="eastAsia" w:ascii="仿宋_GB2312" w:hAnsi="仿宋_GB2312" w:eastAsia="仿宋_GB2312" w:cs="仿宋_GB2312"/>
          <w:color w:val="000000" w:themeColor="text1"/>
          <w:sz w:val="32"/>
          <w:szCs w:val="32"/>
          <w:u w:val="none"/>
          <w14:textFill>
            <w14:solidFill>
              <w14:schemeClr w14:val="tx1"/>
            </w14:solidFill>
          </w14:textFill>
        </w:rPr>
        <w:t>各类安全事故中占比较大，达到</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50%</w:t>
      </w:r>
      <w:r>
        <w:rPr>
          <w:rFonts w:hint="eastAsia" w:ascii="仿宋_GB2312" w:hAnsi="仿宋_GB2312" w:eastAsia="仿宋_GB2312" w:cs="仿宋_GB2312"/>
          <w:color w:val="000000" w:themeColor="text1"/>
          <w:sz w:val="32"/>
          <w:szCs w:val="32"/>
          <w:u w:val="none"/>
          <w14:textFill>
            <w14:solidFill>
              <w14:schemeClr w14:val="tx1"/>
            </w14:solidFill>
          </w14:textFill>
        </w:rPr>
        <w:t>以上；</w:t>
      </w:r>
      <w:r>
        <w:rPr>
          <w:rFonts w:hint="eastAsia" w:ascii="仿宋_GB2312" w:hAnsi="仿宋_GB2312" w:eastAsia="仿宋_GB2312" w:cs="仿宋_GB2312"/>
          <w:color w:val="000000" w:themeColor="text1"/>
          <w:sz w:val="32"/>
          <w:szCs w:val="32"/>
          <w:u w:val="none"/>
          <w:shd w:val="clear" w:color="auto" w:fill="FFFFFF"/>
          <w:lang w:val="en-US" w:eastAsia="zh-CN"/>
          <w14:textFill>
            <w14:solidFill>
              <w14:schemeClr w14:val="tx1"/>
            </w14:solidFill>
          </w14:textFill>
        </w:rPr>
        <w:t>工贸</w:t>
      </w:r>
      <w:r>
        <w:rPr>
          <w:rFonts w:hint="eastAsia" w:ascii="仿宋_GB2312" w:hAnsi="仿宋_GB2312" w:eastAsia="仿宋_GB2312" w:cs="仿宋_GB2312"/>
          <w:color w:val="000000" w:themeColor="text1"/>
          <w:sz w:val="32"/>
          <w:szCs w:val="32"/>
          <w:u w:val="none"/>
          <w:shd w:val="clear" w:color="auto" w:fill="FFFFFF"/>
          <w14:textFill>
            <w14:solidFill>
              <w14:schemeClr w14:val="tx1"/>
            </w14:solidFill>
          </w14:textFill>
        </w:rPr>
        <w:t>行业安全事故时有发生，共发生</w:t>
      </w:r>
      <w:r>
        <w:rPr>
          <w:rFonts w:hint="eastAsia" w:ascii="仿宋_GB2312" w:hAnsi="仿宋_GB2312" w:eastAsia="仿宋_GB2312" w:cs="仿宋_GB2312"/>
          <w:color w:val="000000" w:themeColor="text1"/>
          <w:sz w:val="32"/>
          <w:szCs w:val="32"/>
          <w:u w:val="none"/>
          <w:shd w:val="clear" w:color="auto" w:fill="FFFFFF"/>
          <w:lang w:val="en-US" w:eastAsia="zh-CN"/>
          <w14:textFill>
            <w14:solidFill>
              <w14:schemeClr w14:val="tx1"/>
            </w14:solidFill>
          </w14:textFill>
        </w:rPr>
        <w:t>11</w:t>
      </w:r>
      <w:r>
        <w:rPr>
          <w:rFonts w:hint="eastAsia" w:ascii="仿宋_GB2312" w:hAnsi="仿宋_GB2312" w:eastAsia="仿宋_GB2312" w:cs="仿宋_GB2312"/>
          <w:color w:val="000000" w:themeColor="text1"/>
          <w:sz w:val="32"/>
          <w:szCs w:val="32"/>
          <w:u w:val="none"/>
          <w:shd w:val="clear" w:color="auto" w:fill="FFFFFF"/>
          <w14:textFill>
            <w14:solidFill>
              <w14:schemeClr w14:val="tx1"/>
            </w14:solidFill>
          </w14:textFill>
        </w:rPr>
        <w:t>起，死亡</w:t>
      </w:r>
      <w:r>
        <w:rPr>
          <w:rFonts w:hint="eastAsia" w:ascii="仿宋_GB2312" w:hAnsi="仿宋_GB2312" w:eastAsia="仿宋_GB2312" w:cs="仿宋_GB2312"/>
          <w:color w:val="000000" w:themeColor="text1"/>
          <w:sz w:val="32"/>
          <w:szCs w:val="32"/>
          <w:u w:val="none"/>
          <w:shd w:val="clear" w:color="auto" w:fill="FFFFFF"/>
          <w:lang w:val="en-US" w:eastAsia="zh-CN"/>
          <w14:textFill>
            <w14:solidFill>
              <w14:schemeClr w14:val="tx1"/>
            </w14:solidFill>
          </w14:textFill>
        </w:rPr>
        <w:t>14</w:t>
      </w:r>
      <w:r>
        <w:rPr>
          <w:rFonts w:hint="eastAsia" w:ascii="仿宋_GB2312" w:hAnsi="仿宋_GB2312" w:eastAsia="仿宋_GB2312" w:cs="仿宋_GB2312"/>
          <w:color w:val="000000" w:themeColor="text1"/>
          <w:sz w:val="32"/>
          <w:szCs w:val="32"/>
          <w:u w:val="none"/>
          <w:shd w:val="clear" w:color="auto" w:fill="FFFFFF"/>
          <w14:textFill>
            <w14:solidFill>
              <w14:schemeClr w14:val="tx1"/>
            </w14:solidFill>
          </w14:textFill>
        </w:rPr>
        <w:t>人。</w:t>
      </w:r>
      <w:r>
        <w:rPr>
          <w:rFonts w:hint="eastAsia" w:ascii="仿宋_GB2312" w:hAnsi="仿宋_GB2312" w:eastAsia="仿宋_GB2312" w:cs="仿宋_GB2312"/>
          <w:color w:val="000000" w:themeColor="text1"/>
          <w:sz w:val="32"/>
          <w:szCs w:val="32"/>
          <w:u w:val="none"/>
          <w14:textFill>
            <w14:solidFill>
              <w14:schemeClr w14:val="tx1"/>
            </w14:solidFill>
          </w14:textFill>
        </w:rPr>
        <w:t>2015年新</w:t>
      </w:r>
      <w:r>
        <w:rPr>
          <w:rFonts w:hint="eastAsia" w:ascii="仿宋_GB2312" w:hAnsi="仿宋_GB2312" w:eastAsia="仿宋_GB2312" w:cs="仿宋_GB2312"/>
          <w:color w:val="000000" w:themeColor="text1"/>
          <w:sz w:val="32"/>
          <w:szCs w:val="32"/>
          <w:u w:val="none"/>
          <w:lang w:eastAsia="zh-CN"/>
          <w14:textFill>
            <w14:solidFill>
              <w14:schemeClr w14:val="tx1"/>
            </w14:solidFill>
          </w14:textFill>
        </w:rPr>
        <w:t>增</w:t>
      </w:r>
      <w:r>
        <w:rPr>
          <w:rFonts w:hint="eastAsia" w:ascii="仿宋_GB2312" w:hAnsi="仿宋_GB2312" w:eastAsia="仿宋_GB2312" w:cs="仿宋_GB2312"/>
          <w:color w:val="000000" w:themeColor="text1"/>
          <w:sz w:val="32"/>
          <w:szCs w:val="32"/>
          <w:u w:val="none"/>
          <w14:textFill>
            <w14:solidFill>
              <w14:schemeClr w14:val="tx1"/>
            </w14:solidFill>
          </w14:textFill>
        </w:rPr>
        <w:t>职业病为</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9</w:t>
      </w:r>
      <w:r>
        <w:rPr>
          <w:rFonts w:hint="eastAsia" w:ascii="仿宋_GB2312" w:hAnsi="仿宋_GB2312" w:eastAsia="仿宋_GB2312" w:cs="仿宋_GB2312"/>
          <w:color w:val="000000" w:themeColor="text1"/>
          <w:sz w:val="32"/>
          <w:szCs w:val="32"/>
          <w:u w:val="none"/>
          <w14:textFill>
            <w14:solidFill>
              <w14:schemeClr w14:val="tx1"/>
            </w14:solidFill>
          </w14:textFill>
        </w:rPr>
        <w:t>例，比2010年的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u w:val="none"/>
          <w14:textFill>
            <w14:solidFill>
              <w14:schemeClr w14:val="tx1"/>
            </w14:solidFill>
          </w14:textFill>
        </w:rPr>
        <w:t>例增长</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200</w:t>
      </w:r>
      <w:r>
        <w:rPr>
          <w:rFonts w:hint="eastAsia" w:ascii="仿宋_GB2312" w:hAnsi="仿宋_GB2312" w:eastAsia="仿宋_GB2312" w:cs="仿宋_GB2312"/>
          <w:color w:val="000000" w:themeColor="text1"/>
          <w:sz w:val="32"/>
          <w:szCs w:val="32"/>
          <w:u w:val="none"/>
          <w14:textFill>
            <w14:solidFill>
              <w14:schemeClr w14:val="tx1"/>
            </w14:solidFill>
          </w14:textFill>
        </w:rPr>
        <w:t>％，其中，2015年尘肺病新病例</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8</w:t>
      </w:r>
      <w:r>
        <w:rPr>
          <w:rFonts w:hint="eastAsia" w:ascii="仿宋_GB2312" w:hAnsi="仿宋_GB2312" w:eastAsia="仿宋_GB2312" w:cs="仿宋_GB2312"/>
          <w:color w:val="000000" w:themeColor="text1"/>
          <w:sz w:val="32"/>
          <w:szCs w:val="32"/>
          <w:u w:val="none"/>
          <w14:textFill>
            <w14:solidFill>
              <w14:schemeClr w14:val="tx1"/>
            </w14:solidFill>
          </w14:textFill>
        </w:rPr>
        <w:t>例，比2010年的</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2</w:t>
      </w:r>
      <w:r>
        <w:rPr>
          <w:rFonts w:hint="eastAsia" w:ascii="仿宋_GB2312" w:hAnsi="仿宋_GB2312" w:eastAsia="仿宋_GB2312" w:cs="仿宋_GB2312"/>
          <w:color w:val="000000" w:themeColor="text1"/>
          <w:sz w:val="32"/>
          <w:szCs w:val="32"/>
          <w:u w:val="none"/>
          <w14:textFill>
            <w14:solidFill>
              <w14:schemeClr w14:val="tx1"/>
            </w14:solidFill>
          </w14:textFill>
        </w:rPr>
        <w:t>例增长</w:t>
      </w:r>
      <w:r>
        <w:rPr>
          <w:rFonts w:hint="eastAsia" w:ascii="仿宋_GB2312" w:hAnsi="仿宋_GB2312" w:eastAsia="仿宋_GB2312" w:cs="仿宋_GB2312"/>
          <w:color w:val="000000" w:themeColor="text1"/>
          <w:sz w:val="32"/>
          <w:szCs w:val="32"/>
          <w:u w:val="none"/>
          <w:lang w:val="en-US" w:eastAsia="zh-CN"/>
          <w14:textFill>
            <w14:solidFill>
              <w14:schemeClr w14:val="tx1"/>
            </w14:solidFill>
          </w14:textFill>
        </w:rPr>
        <w:t>300</w:t>
      </w:r>
      <w:r>
        <w:rPr>
          <w:rFonts w:hint="eastAsia" w:ascii="仿宋_GB2312" w:hAnsi="仿宋_GB2312" w:eastAsia="仿宋_GB2312" w:cs="仿宋_GB2312"/>
          <w:color w:val="000000" w:themeColor="text1"/>
          <w:sz w:val="32"/>
          <w:szCs w:val="32"/>
          <w:u w:val="none"/>
          <w14:textFill>
            <w14:solidFill>
              <w14:schemeClr w14:val="tx1"/>
            </w14:solidFill>
          </w14:textFill>
        </w:rPr>
        <w:t>%，职业病的新发病人数进入凸显期</w:t>
      </w:r>
      <w:r>
        <w:rPr>
          <w:rFonts w:hint="eastAsia" w:ascii="仿宋_GB2312" w:hAnsi="仿宋_GB2312" w:eastAsia="仿宋_GB2312" w:cs="仿宋_GB2312"/>
          <w:color w:val="000000"/>
          <w:sz w:val="32"/>
          <w:szCs w:val="32"/>
          <w:u w:val="none"/>
        </w:rPr>
        <w:t>。</w:t>
      </w:r>
    </w:p>
    <w:p>
      <w:pPr>
        <w:pStyle w:val="15"/>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 w:eastAsia="仿宋_GB2312" w:cs="仿宋"/>
          <w:b/>
          <w:color w:val="000000"/>
          <w:sz w:val="32"/>
          <w:szCs w:val="32"/>
        </w:rPr>
        <w:t>2．部分企业主体责任落实不到位。</w:t>
      </w:r>
      <w:r>
        <w:rPr>
          <w:rFonts w:hint="eastAsia" w:ascii="仿宋_GB2312" w:hAnsi="仿宋" w:eastAsia="仿宋_GB2312" w:cs="仿宋"/>
          <w:color w:val="000000"/>
          <w:sz w:val="32"/>
          <w:szCs w:val="32"/>
        </w:rPr>
        <w:t>“</w:t>
      </w:r>
      <w:r>
        <w:rPr>
          <w:rFonts w:hint="eastAsia" w:ascii="仿宋_GB2312" w:hAnsi="仿宋_GB2312" w:eastAsia="仿宋_GB2312" w:cs="仿宋_GB2312"/>
          <w:color w:val="000000"/>
          <w:sz w:val="32"/>
          <w:szCs w:val="32"/>
        </w:rPr>
        <w:t>政府热、企业冷”“政府着急、企业</w:t>
      </w:r>
      <w:r>
        <w:rPr>
          <w:rFonts w:hint="eastAsia" w:ascii="仿宋_GB2312" w:hAnsi="仿宋_GB2312" w:eastAsia="仿宋_GB2312" w:cs="仿宋_GB2312"/>
          <w:color w:val="000000"/>
          <w:sz w:val="32"/>
          <w:szCs w:val="32"/>
          <w:highlight w:val="none"/>
        </w:rPr>
        <w:t>不急</w:t>
      </w:r>
      <w:r>
        <w:rPr>
          <w:rFonts w:hint="eastAsia" w:ascii="仿宋_GB2312" w:hAnsi="仿宋_GB2312" w:eastAsia="仿宋_GB2312" w:cs="仿宋_GB2312"/>
          <w:color w:val="000000"/>
          <w:sz w:val="32"/>
          <w:szCs w:val="32"/>
        </w:rPr>
        <w:t>”等现象依然较为普遍，部分企业特别是小微企业主要负责人和安全管理人员心存侥幸，存在重经济、轻安全的倾向，忽视安全发展。导致安全生产投入欠账严重、安全生产管理机构设置不健全、安全管理人员配备不足、隐患整改不落实、安全培训不到位等问题突出；大型国有企业的示范作用发挥不够。</w:t>
      </w:r>
    </w:p>
    <w:p>
      <w:pPr>
        <w:pStyle w:val="15"/>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 w:eastAsia="仿宋_GB2312" w:cs="仿宋"/>
          <w:b/>
          <w:color w:val="000000"/>
          <w:sz w:val="32"/>
          <w:szCs w:val="32"/>
        </w:rPr>
        <w:t>3．从业人员和广大市民安全意识不强。</w:t>
      </w:r>
      <w:r>
        <w:rPr>
          <w:rFonts w:hint="eastAsia" w:ascii="仿宋_GB2312" w:hAnsi="仿宋_GB2312" w:eastAsia="仿宋_GB2312" w:cs="仿宋_GB2312"/>
          <w:color w:val="000000"/>
          <w:sz w:val="32"/>
          <w:szCs w:val="32"/>
        </w:rPr>
        <w:t>部分企业的从业人员安全素质普遍较低，安全生产的红线意识树立不牢，自我保护意识差，经常未经安全培训即上岗作业，“三违”现象较为普遍；安全生产宣传教育工作基础较为薄弱，安全生产公益宣传机制和体制尚未完善，广大市民交通安全意识、防火意识、防险避灾能力有待加强。</w:t>
      </w:r>
    </w:p>
    <w:p>
      <w:pPr>
        <w:pStyle w:val="15"/>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 w:eastAsia="仿宋_GB2312" w:cs="仿宋"/>
          <w:b/>
          <w:color w:val="000000"/>
          <w:sz w:val="32"/>
          <w:szCs w:val="32"/>
        </w:rPr>
        <w:t>4．基层安全监管力量有待加强。</w:t>
      </w:r>
      <w:r>
        <w:rPr>
          <w:rFonts w:hint="eastAsia" w:ascii="仿宋_GB2312" w:hAnsi="仿宋_GB2312" w:eastAsia="仿宋_GB2312" w:cs="仿宋_GB2312"/>
          <w:color w:val="000000"/>
          <w:sz w:val="32"/>
          <w:szCs w:val="32"/>
        </w:rPr>
        <w:t>基层安全监管体系建设有待加强，基层安全监管机构和人员编制尚未真正落实，执法装备较为匮乏，执法手段有限，监管人员素质不高，基层安全监管能力有待加强。</w:t>
      </w:r>
    </w:p>
    <w:p>
      <w:pPr>
        <w:pStyle w:val="15"/>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 w:eastAsia="仿宋_GB2312" w:cs="仿宋"/>
          <w:b/>
          <w:color w:val="000000"/>
          <w:sz w:val="32"/>
          <w:szCs w:val="32"/>
        </w:rPr>
        <w:t>5．安全生产监察监管体系有待完善。</w:t>
      </w:r>
      <w:r>
        <w:rPr>
          <w:rFonts w:hint="eastAsia" w:ascii="仿宋_GB2312" w:hAnsi="仿宋_GB2312" w:eastAsia="仿宋_GB2312" w:cs="仿宋_GB2312"/>
          <w:color w:val="000000"/>
          <w:sz w:val="32"/>
          <w:szCs w:val="32"/>
        </w:rPr>
        <w:t>部分负有安全生产监督管理职责的部门对安全生产工作缺乏足够重视，主要表现在机构不健全、制度不完善等；综合指导协调与行业监管、属地监管职责需要进一步明确和理顺；各部门齐抓共管的安全生产工作格局有待完善。</w:t>
      </w:r>
    </w:p>
    <w:p>
      <w:pPr>
        <w:pStyle w:val="15"/>
        <w:pageBreakBefore w:val="0"/>
        <w:kinsoku/>
        <w:wordWrap/>
        <w:overflowPunct/>
        <w:bidi w:val="0"/>
        <w:snapToGrid/>
        <w:spacing w:line="560" w:lineRule="exact"/>
        <w:textAlignment w:val="auto"/>
        <w:rPr>
          <w:rFonts w:hint="eastAsia" w:ascii="仿宋_GB2312" w:hAnsi="仿宋_GB2312" w:eastAsia="仿宋_GB2312" w:cs="仿宋_GB2312"/>
          <w:color w:val="000000"/>
          <w:sz w:val="32"/>
          <w:szCs w:val="32"/>
        </w:rPr>
      </w:pPr>
      <w:r>
        <w:rPr>
          <w:rFonts w:hint="eastAsia" w:ascii="仿宋_GB2312" w:hAnsi="仿宋" w:eastAsia="仿宋_GB2312" w:cs="仿宋"/>
          <w:color w:val="000000"/>
          <w:sz w:val="32"/>
          <w:szCs w:val="32"/>
        </w:rPr>
        <w:t xml:space="preserve">    </w:t>
      </w:r>
      <w:r>
        <w:rPr>
          <w:rFonts w:hint="eastAsia" w:ascii="仿宋_GB2312" w:hAnsi="仿宋" w:eastAsia="仿宋_GB2312" w:cs="仿宋"/>
          <w:b/>
          <w:color w:val="000000"/>
          <w:sz w:val="32"/>
          <w:szCs w:val="32"/>
        </w:rPr>
        <w:t>6.安全生产支撑体系不够健全。</w:t>
      </w:r>
      <w:r>
        <w:rPr>
          <w:rFonts w:hint="eastAsia" w:ascii="仿宋_GB2312" w:hAnsi="仿宋_GB2312" w:eastAsia="仿宋_GB2312" w:cs="仿宋_GB2312"/>
          <w:color w:val="000000"/>
          <w:sz w:val="32"/>
          <w:szCs w:val="32"/>
        </w:rPr>
        <w:t>信息化水平较低，尚未建立全市统一的安全生产信息网络系统；安全生产宣传教育培训工作相对滞后，培训方式和手段较落后；安全生产应急救援体系尚不健全，救援装备不足，应对重特大事故的能力较差。</w:t>
      </w:r>
    </w:p>
    <w:p>
      <w:pPr>
        <w:pStyle w:val="15"/>
        <w:pageBreakBefore w:val="0"/>
        <w:kinsoku/>
        <w:wordWrap/>
        <w:overflowPunct/>
        <w:bidi w:val="0"/>
        <w:snapToGrid/>
        <w:spacing w:line="560" w:lineRule="exact"/>
        <w:textAlignment w:val="auto"/>
        <w:rPr>
          <w:rFonts w:hint="eastAsia" w:ascii="仿宋_GB2312" w:hAnsi="仿宋_GB2312" w:eastAsia="仿宋_GB2312" w:cs="仿宋_GB2312"/>
          <w:color w:val="000000"/>
          <w:sz w:val="32"/>
          <w:szCs w:val="32"/>
        </w:rPr>
      </w:pPr>
    </w:p>
    <w:p>
      <w:pPr>
        <w:pStyle w:val="23"/>
        <w:pageBreakBefore w:val="0"/>
        <w:numPr>
          <w:ilvl w:val="0"/>
          <w:numId w:val="2"/>
        </w:numPr>
        <w:kinsoku/>
        <w:wordWrap/>
        <w:overflowPunct/>
        <w:bidi w:val="0"/>
        <w:snapToGrid/>
        <w:spacing w:line="560" w:lineRule="exact"/>
        <w:ind w:firstLine="0" w:firstLineChars="0"/>
        <w:jc w:val="center"/>
        <w:textAlignment w:val="auto"/>
        <w:rPr>
          <w:rFonts w:hint="eastAsia" w:ascii="黑体" w:hAnsi="黑体" w:eastAsia="黑体"/>
          <w:b w:val="0"/>
          <w:color w:val="000000"/>
        </w:rPr>
      </w:pPr>
      <w:r>
        <w:rPr>
          <w:rFonts w:hint="eastAsia" w:ascii="黑体" w:hAnsi="黑体" w:eastAsia="黑体"/>
          <w:b w:val="0"/>
          <w:color w:val="000000"/>
        </w:rPr>
        <w:t xml:space="preserve">  </w:t>
      </w:r>
      <w:bookmarkStart w:id="3" w:name="_Toc4683"/>
      <w:r>
        <w:rPr>
          <w:rFonts w:hint="eastAsia" w:ascii="黑体" w:hAnsi="黑体" w:eastAsia="黑体"/>
          <w:b w:val="0"/>
          <w:color w:val="000000"/>
        </w:rPr>
        <w:t>安全生产形势</w:t>
      </w:r>
      <w:bookmarkEnd w:id="3"/>
    </w:p>
    <w:p>
      <w:pPr>
        <w:pStyle w:val="38"/>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38"/>
        <w:pageBreakBefore w:val="0"/>
        <w:kinsoku/>
        <w:wordWrap/>
        <w:overflowPunct/>
        <w:bidi w:val="0"/>
        <w:snapToGrid/>
        <w:spacing w:line="560" w:lineRule="exact"/>
        <w:ind w:firstLine="640" w:firstLineChars="200"/>
        <w:textAlignment w:val="auto"/>
        <w:rPr>
          <w:rFonts w:hint="eastAsia" w:ascii="仿宋_GB2312" w:hAnsi="仿宋_GB2312" w:eastAsia="仿宋_GB2312" w:cs="仿宋_GB2312"/>
          <w:color w:val="000000"/>
          <w:szCs w:val="32"/>
        </w:rPr>
      </w:pPr>
      <w:r>
        <w:rPr>
          <w:rFonts w:hint="eastAsia" w:ascii="仿宋_GB2312" w:hAnsi="仿宋_GB2312" w:eastAsia="仿宋_GB2312" w:cs="仿宋_GB2312"/>
          <w:color w:val="000000"/>
          <w:szCs w:val="32"/>
        </w:rPr>
        <w:t>“十三五”时期，随着广清一体化进程，我市经济发展进入快阶段，安全生产工作面临新形势、新挑战。</w:t>
      </w:r>
    </w:p>
    <w:p>
      <w:pPr>
        <w:pStyle w:val="15"/>
        <w:pageBreakBefore w:val="0"/>
        <w:kinsoku/>
        <w:wordWrap/>
        <w:overflowPunct/>
        <w:bidi w:val="0"/>
        <w:snapToGrid/>
        <w:spacing w:line="560" w:lineRule="exact"/>
        <w:ind w:firstLine="643" w:firstLineChars="200"/>
        <w:textAlignment w:val="auto"/>
        <w:rPr>
          <w:rFonts w:hint="eastAsia" w:ascii="仿宋_GB2312" w:hAnsi="仿宋_GB2312" w:eastAsia="仿宋_GB2312" w:cs="仿宋_GB2312"/>
          <w:color w:val="000000"/>
          <w:sz w:val="32"/>
          <w:szCs w:val="32"/>
        </w:rPr>
      </w:pPr>
      <w:r>
        <w:rPr>
          <w:rFonts w:hint="eastAsia" w:ascii="仿宋_GB2312" w:hAnsi="仿宋_GB2312" w:eastAsia="仿宋_GB2312" w:cs="仿宋"/>
          <w:b/>
          <w:color w:val="000000"/>
          <w:sz w:val="32"/>
          <w:szCs w:val="32"/>
        </w:rPr>
        <w:t>发展的有利条件和机遇。</w:t>
      </w:r>
      <w:r>
        <w:rPr>
          <w:rFonts w:hint="eastAsia" w:ascii="仿宋_GB2312" w:hAnsi="仿宋_GB2312" w:eastAsia="仿宋_GB2312" w:cs="仿宋_GB2312"/>
          <w:bCs/>
          <w:color w:val="000000"/>
          <w:sz w:val="32"/>
          <w:szCs w:val="32"/>
        </w:rPr>
        <w:t>一是</w:t>
      </w:r>
      <w:r>
        <w:rPr>
          <w:rFonts w:hint="eastAsia" w:ascii="仿宋_GB2312" w:hAnsi="仿宋_GB2312" w:eastAsia="仿宋_GB2312" w:cs="仿宋_GB2312"/>
          <w:color w:val="000000"/>
          <w:sz w:val="32"/>
          <w:szCs w:val="32"/>
        </w:rPr>
        <w:t>党的十八大以来，党中央、国务院高度重视安全生产工作，提出了一系列新的思想理论、政策措施和工作要求，凝聚全社会对安全生产工作的共识，为新时期安全生产工作指明了行动方向。地方各级党委政府、各部门和各有关方面高度重视安全生产工作，为加强安全生产工作提供了根本保证。二是随着国家“一带一路”、“中国制造2025”、创新驱动等战略全面实施，同时，广清一体化发展战略的加快实施，我市打基础、促转型，工业园区快速发展，一批重大产业项目动工建设，“六纵四横、一江四轨”的综合交通网络全面建设，城市不断扩容提质，交通、城市、园区等基础条件有效改善，为安全生产工作打下良好基础。三是安全发展理念不断深入人心，依法治安的理念，体制机制的不断完善，改革安全生产工作的决心，都为实现安全发展提供了强大动力。</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szCs w:val="32"/>
          <w:highlight w:val="none"/>
        </w:rPr>
      </w:pPr>
      <w:r>
        <w:rPr>
          <w:rFonts w:hint="eastAsia" w:ascii="仿宋_GB2312" w:hAnsi="仿宋_GB2312" w:eastAsia="仿宋_GB2312" w:cs="仿宋"/>
          <w:b/>
          <w:color w:val="000000"/>
          <w:sz w:val="32"/>
          <w:szCs w:val="32"/>
        </w:rPr>
        <w:t>面临的新挑战。</w:t>
      </w:r>
      <w:r>
        <w:rPr>
          <w:rFonts w:hint="eastAsia" w:ascii="仿宋_GB2312" w:hAnsi="仿宋_GB2312" w:eastAsia="仿宋_GB2312" w:cs="仿宋"/>
          <w:color w:val="000000"/>
          <w:sz w:val="32"/>
          <w:szCs w:val="32"/>
        </w:rPr>
        <w:t>清远的快速发展，既带来了机遇，同时给我市安全生产工作带来了压力，对安全监管工作提出了更高要求。</w:t>
      </w:r>
      <w:bookmarkStart w:id="4" w:name="_Toc425086778"/>
      <w:r>
        <w:rPr>
          <w:rFonts w:hint="eastAsia" w:ascii="仿宋_GB2312" w:hAnsi="仿宋_GB2312" w:eastAsia="仿宋_GB2312" w:cs="仿宋"/>
          <w:color w:val="000000"/>
          <w:sz w:val="32"/>
          <w:szCs w:val="32"/>
        </w:rPr>
        <w:t>一是区域风险高度聚集。清远经济飞速发展，产业结构转型升级，物流、旅游等产业集群区的建设，新技术、新材料、新工艺、新设备等大量应用，区域经济发展与产业集聚化使得安全风险更为集中。二是城市运行风险加剧。随着清远城市不断扩容，水、电、气、热、交通运输、通信设施等维持现代城市生产、生活正常运转的生命线工程不断建设和运营，全市人员密集场所数量、种类、规模和结构的复杂程度等呈上升趋势，伴生更多的事故隐患，城市生命线运行风险加剧。三是</w:t>
      </w:r>
      <w:r>
        <w:rPr>
          <w:rFonts w:hint="eastAsia" w:ascii="仿宋_GB2312" w:hAnsi="Calibri" w:eastAsia="仿宋_GB2312"/>
          <w:color w:val="000000"/>
          <w:kern w:val="0"/>
          <w:sz w:val="32"/>
          <w:szCs w:val="32"/>
        </w:rPr>
        <w:t>大交通行业风险剧增。</w:t>
      </w:r>
      <w:r>
        <w:rPr>
          <w:rFonts w:hint="eastAsia" w:ascii="仿宋_GB2312" w:hAnsi="仿宋" w:eastAsia="仿宋_GB2312" w:cs="仿宋"/>
          <w:color w:val="000000"/>
          <w:sz w:val="32"/>
          <w:szCs w:val="32"/>
          <w:shd w:val="clear" w:color="auto" w:fill="FFFFFF"/>
        </w:rPr>
        <w:t>“十三五”期间，我市交通行业将得到迅猛发展，高速公路、高铁、航空、港口、轻轨、桥梁等不断建设使用，</w:t>
      </w:r>
      <w:r>
        <w:rPr>
          <w:rFonts w:hint="eastAsia" w:ascii="仿宋_GB2312" w:hAnsi="仿宋" w:eastAsia="仿宋_GB2312" w:cs="仿宋"/>
          <w:color w:val="000000"/>
          <w:sz w:val="32"/>
          <w:szCs w:val="32"/>
        </w:rPr>
        <w:t>至2016</w:t>
      </w:r>
      <w:r>
        <w:rPr>
          <w:rFonts w:hint="eastAsia" w:ascii="仿宋_GB2312" w:hAnsi="仿宋" w:eastAsia="仿宋_GB2312" w:cs="仿宋"/>
          <w:color w:val="000000"/>
          <w:sz w:val="32"/>
          <w:szCs w:val="32"/>
          <w:shd w:val="clear" w:color="auto" w:fill="FFFFFF"/>
        </w:rPr>
        <w:t>年底，我</w:t>
      </w:r>
      <w:r>
        <w:rPr>
          <w:rFonts w:hint="eastAsia" w:ascii="仿宋_GB2312" w:hAnsi="仿宋" w:eastAsia="仿宋_GB2312" w:cs="仿宋"/>
          <w:color w:val="000000"/>
          <w:sz w:val="32"/>
          <w:szCs w:val="32"/>
          <w:shd w:val="clear" w:color="auto" w:fill="FFFFFF"/>
          <w:lang w:val="en-US" w:eastAsia="zh-CN"/>
        </w:rPr>
        <w:t>区</w:t>
      </w:r>
      <w:r>
        <w:rPr>
          <w:rFonts w:hint="eastAsia" w:ascii="仿宋_GB2312" w:hAnsi="仿宋" w:eastAsia="仿宋_GB2312" w:cs="仿宋"/>
          <w:color w:val="000000"/>
          <w:sz w:val="32"/>
          <w:szCs w:val="32"/>
          <w:shd w:val="clear" w:color="auto" w:fill="FFFFFF"/>
        </w:rPr>
        <w:t>公路通车里程达</w:t>
      </w:r>
      <w:r>
        <w:rPr>
          <w:rFonts w:hint="eastAsia" w:ascii="仿宋_GB2312" w:hAnsi="仿宋" w:eastAsia="仿宋_GB2312" w:cs="仿宋"/>
          <w:color w:val="000000"/>
          <w:sz w:val="32"/>
          <w:szCs w:val="32"/>
          <w:shd w:val="clear" w:color="auto" w:fill="FFFFFF"/>
          <w:lang w:val="en-US" w:eastAsia="zh-CN"/>
        </w:rPr>
        <w:t>3320.28</w:t>
      </w:r>
      <w:r>
        <w:rPr>
          <w:rFonts w:hint="eastAsia" w:ascii="仿宋_GB2312" w:hAnsi="仿宋" w:eastAsia="仿宋_GB2312" w:cs="仿宋"/>
          <w:color w:val="000000"/>
          <w:sz w:val="32"/>
          <w:szCs w:val="32"/>
          <w:shd w:val="clear" w:color="auto" w:fill="FFFFFF"/>
        </w:rPr>
        <w:t>万公里，排名全</w:t>
      </w:r>
      <w:r>
        <w:rPr>
          <w:rFonts w:hint="eastAsia" w:ascii="仿宋_GB2312" w:hAnsi="仿宋" w:eastAsia="仿宋_GB2312" w:cs="仿宋"/>
          <w:color w:val="000000"/>
          <w:sz w:val="32"/>
          <w:szCs w:val="32"/>
          <w:shd w:val="clear" w:color="auto" w:fill="FFFFFF"/>
          <w:lang w:val="en-US" w:eastAsia="zh-CN"/>
        </w:rPr>
        <w:t>市</w:t>
      </w:r>
      <w:r>
        <w:rPr>
          <w:rFonts w:hint="eastAsia" w:ascii="仿宋_GB2312" w:hAnsi="仿宋" w:eastAsia="仿宋_GB2312" w:cs="仿宋"/>
          <w:color w:val="000000"/>
          <w:sz w:val="32"/>
          <w:szCs w:val="32"/>
          <w:shd w:val="clear" w:color="auto" w:fill="FFFFFF"/>
        </w:rPr>
        <w:t>第</w:t>
      </w:r>
      <w:r>
        <w:rPr>
          <w:rFonts w:hint="eastAsia" w:ascii="仿宋_GB2312" w:hAnsi="仿宋" w:eastAsia="仿宋_GB2312" w:cs="仿宋"/>
          <w:color w:val="000000"/>
          <w:sz w:val="32"/>
          <w:szCs w:val="32"/>
          <w:shd w:val="clear" w:color="auto" w:fill="FFFFFF"/>
          <w:lang w:val="en-US" w:eastAsia="zh-CN"/>
        </w:rPr>
        <w:t>3</w:t>
      </w:r>
      <w:r>
        <w:rPr>
          <w:rFonts w:hint="eastAsia" w:ascii="仿宋_GB2312" w:hAnsi="仿宋" w:eastAsia="仿宋_GB2312" w:cs="仿宋"/>
          <w:color w:val="000000"/>
          <w:sz w:val="32"/>
          <w:szCs w:val="32"/>
          <w:shd w:val="clear" w:color="auto" w:fill="FFFFFF"/>
        </w:rPr>
        <w:t>位，其中高速公路</w:t>
      </w:r>
      <w:r>
        <w:rPr>
          <w:rFonts w:hint="eastAsia" w:ascii="仿宋_GB2312" w:hAnsi="仿宋" w:eastAsia="仿宋_GB2312" w:cs="仿宋"/>
          <w:color w:val="000000"/>
          <w:sz w:val="32"/>
          <w:szCs w:val="32"/>
          <w:shd w:val="clear" w:color="auto" w:fill="FFFFFF"/>
          <w:lang w:val="en-US" w:eastAsia="zh-CN"/>
        </w:rPr>
        <w:t>445</w:t>
      </w:r>
      <w:r>
        <w:rPr>
          <w:rFonts w:hint="eastAsia" w:ascii="仿宋_GB2312" w:hAnsi="仿宋" w:eastAsia="仿宋_GB2312" w:cs="仿宋"/>
          <w:color w:val="000000"/>
          <w:sz w:val="32"/>
          <w:szCs w:val="32"/>
          <w:shd w:val="clear" w:color="auto" w:fill="FFFFFF"/>
        </w:rPr>
        <w:t>公里，交通</w:t>
      </w:r>
      <w:r>
        <w:rPr>
          <w:rFonts w:hint="eastAsia" w:ascii="仿宋_GB2312" w:hAnsi="仿宋" w:eastAsia="仿宋_GB2312" w:cs="仿宋"/>
          <w:color w:val="000000"/>
          <w:sz w:val="32"/>
          <w:szCs w:val="32"/>
        </w:rPr>
        <w:t>行业防控较大安全事故的任务十分艰巨。</w:t>
      </w:r>
      <w:r>
        <w:rPr>
          <w:rFonts w:hint="eastAsia" w:ascii="仿宋_GB2312" w:hAnsi="仿宋" w:eastAsia="仿宋_GB2312" w:cs="仿宋"/>
          <w:color w:val="000000"/>
          <w:sz w:val="32"/>
          <w:szCs w:val="32"/>
          <w:shd w:val="clear" w:color="auto" w:fill="FFFFFF"/>
        </w:rPr>
        <w:t>四是</w:t>
      </w:r>
      <w:r>
        <w:rPr>
          <w:rFonts w:hint="eastAsia" w:ascii="仿宋_GB2312" w:hAnsi="仿宋" w:eastAsia="仿宋_GB2312" w:cs="仿宋_GB2312"/>
          <w:color w:val="000000"/>
          <w:sz w:val="32"/>
          <w:szCs w:val="32"/>
        </w:rPr>
        <w:t>职业病防治压力巨大。清远在产业转移工作中，承接了水泥、陶瓷、电镀、金属再生回收等职业病危害高发行业企业</w:t>
      </w:r>
      <w:r>
        <w:rPr>
          <w:rFonts w:hint="eastAsia" w:ascii="仿宋_GB2312" w:hAnsi="仿宋" w:eastAsia="仿宋_GB2312" w:cs="仿宋_GB2312"/>
          <w:color w:val="000000"/>
          <w:sz w:val="32"/>
          <w:szCs w:val="32"/>
          <w:shd w:val="clear" w:fill="FFFFFF" w:themeFill="background1"/>
        </w:rPr>
        <w:t>，</w:t>
      </w:r>
      <w:r>
        <w:rPr>
          <w:rFonts w:hint="eastAsia" w:ascii="仿宋_GB2312" w:hAnsi="仿宋" w:eastAsia="仿宋_GB2312"/>
          <w:color w:val="000000" w:themeColor="text1"/>
          <w:sz w:val="32"/>
          <w:szCs w:val="32"/>
          <w:highlight w:val="none"/>
          <w:shd w:val="clear"/>
          <w14:textFill>
            <w14:solidFill>
              <w14:schemeClr w14:val="tx1"/>
            </w14:solidFill>
          </w14:textFill>
        </w:rPr>
        <w:t>全</w:t>
      </w:r>
      <w:r>
        <w:rPr>
          <w:rFonts w:hint="eastAsia" w:ascii="仿宋_GB2312" w:hAnsi="仿宋" w:eastAsia="仿宋_GB2312"/>
          <w:color w:val="000000" w:themeColor="text1"/>
          <w:sz w:val="32"/>
          <w:szCs w:val="32"/>
          <w:highlight w:val="none"/>
          <w:shd w:val="clear"/>
          <w:lang w:val="en-US" w:eastAsia="zh-CN"/>
          <w14:textFill>
            <w14:solidFill>
              <w14:schemeClr w14:val="tx1"/>
            </w14:solidFill>
          </w14:textFill>
        </w:rPr>
        <w:t>区</w:t>
      </w:r>
      <w:r>
        <w:rPr>
          <w:rFonts w:hint="eastAsia" w:ascii="仿宋_GB2312" w:hAnsi="仿宋" w:eastAsia="仿宋_GB2312"/>
          <w:color w:val="000000" w:themeColor="text1"/>
          <w:sz w:val="32"/>
          <w:szCs w:val="32"/>
          <w:highlight w:val="none"/>
          <w:shd w:val="clear"/>
          <w14:textFill>
            <w14:solidFill>
              <w14:schemeClr w14:val="tx1"/>
            </w14:solidFill>
          </w14:textFill>
        </w:rPr>
        <w:t>存在职业病危害</w:t>
      </w:r>
      <w:r>
        <w:rPr>
          <w:rFonts w:hint="eastAsia" w:ascii="仿宋_GB2312" w:hAnsi="仿宋" w:eastAsia="仿宋_GB2312"/>
          <w:color w:val="000000" w:themeColor="text1"/>
          <w:sz w:val="32"/>
          <w:szCs w:val="32"/>
          <w:highlight w:val="none"/>
          <w:shd w:val="clear"/>
          <w:lang w:eastAsia="zh-CN"/>
          <w14:textFill>
            <w14:solidFill>
              <w14:schemeClr w14:val="tx1"/>
            </w14:solidFill>
          </w14:textFill>
        </w:rPr>
        <w:t>的</w:t>
      </w:r>
      <w:r>
        <w:rPr>
          <w:rFonts w:hint="eastAsia" w:ascii="仿宋_GB2312" w:hAnsi="仿宋" w:eastAsia="仿宋_GB2312"/>
          <w:color w:val="000000" w:themeColor="text1"/>
          <w:sz w:val="32"/>
          <w:szCs w:val="32"/>
          <w:highlight w:val="none"/>
          <w:shd w:val="clear"/>
          <w14:textFill>
            <w14:solidFill>
              <w14:schemeClr w14:val="tx1"/>
            </w14:solidFill>
          </w14:textFill>
        </w:rPr>
        <w:t>企业</w:t>
      </w:r>
      <w:r>
        <w:rPr>
          <w:rFonts w:hint="eastAsia" w:ascii="仿宋_GB2312" w:hAnsi="仿宋" w:eastAsia="仿宋_GB2312"/>
          <w:color w:val="000000" w:themeColor="text1"/>
          <w:sz w:val="32"/>
          <w:szCs w:val="32"/>
          <w:highlight w:val="none"/>
          <w:shd w:val="clear"/>
          <w:lang w:eastAsia="zh-CN"/>
          <w14:textFill>
            <w14:solidFill>
              <w14:schemeClr w14:val="tx1"/>
            </w14:solidFill>
          </w14:textFill>
        </w:rPr>
        <w:t>有</w:t>
      </w:r>
      <w:r>
        <w:rPr>
          <w:rFonts w:hint="eastAsia" w:ascii="仿宋_GB2312" w:hAnsi="仿宋" w:eastAsia="仿宋_GB2312"/>
          <w:color w:val="000000" w:themeColor="text1"/>
          <w:sz w:val="32"/>
          <w:szCs w:val="32"/>
          <w:highlight w:val="none"/>
          <w:shd w:val="clear"/>
          <w:lang w:val="en-US" w:eastAsia="zh-CN"/>
          <w14:textFill>
            <w14:solidFill>
              <w14:schemeClr w14:val="tx1"/>
            </w14:solidFill>
          </w14:textFill>
        </w:rPr>
        <w:t>99</w:t>
      </w:r>
      <w:r>
        <w:rPr>
          <w:rFonts w:hint="eastAsia" w:ascii="仿宋_GB2312" w:hAnsi="仿宋" w:eastAsia="仿宋_GB2312"/>
          <w:color w:val="000000" w:themeColor="text1"/>
          <w:sz w:val="32"/>
          <w:szCs w:val="32"/>
          <w:highlight w:val="none"/>
          <w:shd w:val="clear"/>
          <w14:textFill>
            <w14:solidFill>
              <w14:schemeClr w14:val="tx1"/>
            </w14:solidFill>
          </w14:textFill>
        </w:rPr>
        <w:t>家</w:t>
      </w:r>
      <w:r>
        <w:rPr>
          <w:rFonts w:hint="eastAsia" w:ascii="仿宋_GB2312" w:hAnsi="仿宋" w:eastAsia="仿宋_GB2312"/>
          <w:color w:val="000000" w:themeColor="text1"/>
          <w:sz w:val="32"/>
          <w:szCs w:val="32"/>
          <w:highlight w:val="none"/>
          <w:shd w:val="clear"/>
          <w:lang w:eastAsia="zh-CN"/>
          <w14:textFill>
            <w14:solidFill>
              <w14:schemeClr w14:val="tx1"/>
            </w14:solidFill>
          </w14:textFill>
        </w:rPr>
        <w:t>，分布在</w:t>
      </w:r>
      <w:r>
        <w:rPr>
          <w:rFonts w:hint="eastAsia" w:ascii="仿宋_GB2312" w:hAnsi="仿宋" w:eastAsia="仿宋_GB2312"/>
          <w:color w:val="000000" w:themeColor="text1"/>
          <w:sz w:val="32"/>
          <w:szCs w:val="32"/>
          <w:highlight w:val="none"/>
          <w:shd w:val="clear"/>
          <w14:textFill>
            <w14:solidFill>
              <w14:schemeClr w14:val="tx1"/>
            </w14:solidFill>
          </w14:textFill>
        </w:rPr>
        <w:t>化工、非煤矿山、制鞋、陶瓷、水泥、石英砂、木质家具制造等</w:t>
      </w:r>
      <w:r>
        <w:rPr>
          <w:rFonts w:hint="eastAsia" w:ascii="仿宋_GB2312" w:hAnsi="仿宋" w:eastAsia="仿宋_GB2312"/>
          <w:color w:val="000000" w:themeColor="text1"/>
          <w:sz w:val="32"/>
          <w:szCs w:val="32"/>
          <w:highlight w:val="none"/>
          <w:shd w:val="clear"/>
          <w:lang w:eastAsia="zh-CN"/>
          <w14:textFill>
            <w14:solidFill>
              <w14:schemeClr w14:val="tx1"/>
            </w14:solidFill>
          </w14:textFill>
        </w:rPr>
        <w:t>行业</w:t>
      </w:r>
      <w:r>
        <w:rPr>
          <w:rFonts w:hint="eastAsia" w:ascii="仿宋_GB2312" w:hAnsi="仿宋" w:eastAsia="仿宋_GB2312"/>
          <w:color w:val="000000" w:themeColor="text1"/>
          <w:sz w:val="32"/>
          <w:szCs w:val="32"/>
          <w:highlight w:val="none"/>
          <w:shd w:val="clear"/>
          <w14:textFill>
            <w14:solidFill>
              <w14:schemeClr w14:val="tx1"/>
            </w14:solidFill>
          </w14:textFill>
        </w:rPr>
        <w:t>，</w:t>
      </w:r>
      <w:r>
        <w:rPr>
          <w:rFonts w:hint="eastAsia" w:ascii="仿宋_GB2312" w:hAnsi="仿宋" w:eastAsia="仿宋_GB2312"/>
          <w:color w:val="auto"/>
          <w:sz w:val="32"/>
          <w:szCs w:val="32"/>
          <w:highlight w:val="none"/>
          <w:shd w:val="clear"/>
        </w:rPr>
        <w:t>接触尘、毒、噪声等有害因素的人数为</w:t>
      </w:r>
      <w:r>
        <w:rPr>
          <w:rFonts w:hint="eastAsia" w:ascii="仿宋_GB2312" w:hAnsi="仿宋" w:eastAsia="仿宋_GB2312"/>
          <w:color w:val="auto"/>
          <w:sz w:val="32"/>
          <w:szCs w:val="32"/>
          <w:highlight w:val="none"/>
          <w:shd w:val="clear"/>
          <w:lang w:val="en-US" w:eastAsia="zh-CN"/>
        </w:rPr>
        <w:t>1.5652</w:t>
      </w:r>
      <w:r>
        <w:rPr>
          <w:rFonts w:hint="eastAsia" w:ascii="仿宋_GB2312" w:hAnsi="仿宋" w:eastAsia="仿宋_GB2312"/>
          <w:color w:val="auto"/>
          <w:sz w:val="32"/>
          <w:szCs w:val="32"/>
          <w:highlight w:val="none"/>
          <w:shd w:val="clear"/>
        </w:rPr>
        <w:t>万人次</w:t>
      </w:r>
      <w:r>
        <w:rPr>
          <w:rFonts w:hint="eastAsia" w:ascii="仿宋_GB2312" w:hAnsi="仿宋" w:eastAsia="仿宋_GB2312" w:cs="仿宋_GB2312"/>
          <w:color w:val="auto"/>
          <w:sz w:val="32"/>
          <w:szCs w:val="32"/>
          <w:highlight w:val="none"/>
          <w:shd w:val="clear"/>
        </w:rPr>
        <w:t>，</w:t>
      </w:r>
      <w:r>
        <w:rPr>
          <w:rFonts w:hint="eastAsia" w:ascii="仿宋_GB2312" w:hAnsi="仿宋" w:eastAsia="仿宋_GB2312" w:cs="仿宋_GB2312"/>
          <w:color w:val="000000"/>
          <w:sz w:val="32"/>
          <w:szCs w:val="32"/>
          <w:highlight w:val="none"/>
        </w:rPr>
        <w:t>而我</w:t>
      </w:r>
      <w:r>
        <w:rPr>
          <w:rFonts w:hint="eastAsia" w:ascii="仿宋_GB2312" w:hAnsi="仿宋" w:eastAsia="仿宋_GB2312" w:cs="仿宋_GB2312"/>
          <w:color w:val="000000"/>
          <w:sz w:val="32"/>
          <w:szCs w:val="32"/>
          <w:highlight w:val="none"/>
          <w:lang w:val="en-US" w:eastAsia="zh-CN"/>
        </w:rPr>
        <w:t>区</w:t>
      </w:r>
      <w:r>
        <w:rPr>
          <w:rFonts w:hint="eastAsia" w:ascii="仿宋_GB2312" w:hAnsi="仿宋" w:eastAsia="仿宋_GB2312" w:cs="仿宋_GB2312"/>
          <w:color w:val="000000"/>
          <w:sz w:val="32"/>
          <w:szCs w:val="32"/>
          <w:highlight w:val="none"/>
        </w:rPr>
        <w:t>用人单位主体责任不落实，劳动者防护意识淡薄，职业卫生监管力量薄弱，职业卫生技术支撑体系建设滞后，导致我</w:t>
      </w:r>
      <w:r>
        <w:rPr>
          <w:rFonts w:hint="eastAsia" w:ascii="仿宋_GB2312" w:hAnsi="仿宋" w:eastAsia="仿宋_GB2312" w:cs="仿宋_GB2312"/>
          <w:color w:val="000000"/>
          <w:sz w:val="32"/>
          <w:szCs w:val="32"/>
          <w:highlight w:val="none"/>
          <w:lang w:val="en-US" w:eastAsia="zh-CN"/>
        </w:rPr>
        <w:t>区</w:t>
      </w:r>
      <w:r>
        <w:rPr>
          <w:rFonts w:hint="eastAsia" w:ascii="仿宋_GB2312" w:hAnsi="仿宋" w:eastAsia="仿宋_GB2312" w:cs="仿宋_GB2312"/>
          <w:color w:val="000000"/>
          <w:sz w:val="32"/>
          <w:szCs w:val="32"/>
          <w:highlight w:val="none"/>
        </w:rPr>
        <w:t>职业病危害风险加大，职业病病人数呈逐年上升态势，尤其是尘肺病病人在急剧增加，职业病防控形势不容乐观。</w:t>
      </w: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综合预期，“十三五”时期事故总量将保持下降态势，但下降幅度收窄，较大以上事故可能波动反复，部分行业领域和局部地区事故会有所反弹，生产安全事故预计呈现诱因多样化、类型复合化、波及范围扩大化和社会影响持久化的特征。根据国家创新、协调、绿色、开放、共享的发展理念，健全安全生产法治体系，加强全民安全意识教育，创新安全生产技术与管理，严格监管执法</w:t>
      </w:r>
      <w:r>
        <w:rPr>
          <w:rFonts w:hint="eastAsia" w:ascii="仿宋_GB2312" w:hAnsi="仿宋" w:eastAsia="仿宋_GB2312" w:cs="仿宋"/>
          <w:color w:val="0000FF"/>
          <w:sz w:val="32"/>
          <w:szCs w:val="32"/>
          <w:lang w:eastAsia="zh-CN"/>
        </w:rPr>
        <w:t>，</w:t>
      </w:r>
      <w:r>
        <w:rPr>
          <w:rFonts w:hint="eastAsia" w:ascii="仿宋_GB2312" w:hAnsi="仿宋" w:eastAsia="仿宋_GB2312" w:cs="仿宋"/>
          <w:color w:val="000000"/>
          <w:sz w:val="32"/>
          <w:szCs w:val="32"/>
        </w:rPr>
        <w:t>落实责任和管理制度，是实现“十三五”时期安全生产工作奋斗目标的根本路径。</w:t>
      </w:r>
    </w:p>
    <w:bookmarkEnd w:id="4"/>
    <w:p>
      <w:pPr>
        <w:pStyle w:val="15"/>
        <w:pageBreakBefore w:val="0"/>
        <w:kinsoku/>
        <w:wordWrap/>
        <w:overflowPunct/>
        <w:bidi w:val="0"/>
        <w:snapToGrid/>
        <w:spacing w:line="560" w:lineRule="exact"/>
        <w:jc w:val="center"/>
        <w:textAlignment w:val="auto"/>
        <w:outlineLvl w:val="0"/>
        <w:rPr>
          <w:rFonts w:hint="eastAsia" w:ascii="方正小标宋_GBK" w:hAnsi="黑体" w:eastAsia="方正小标宋_GBK" w:cs="黑体"/>
          <w:color w:val="000000"/>
          <w:sz w:val="44"/>
          <w:szCs w:val="44"/>
        </w:rPr>
      </w:pPr>
      <w:bookmarkStart w:id="5" w:name="_Toc10475"/>
    </w:p>
    <w:p>
      <w:pPr>
        <w:pStyle w:val="15"/>
        <w:pageBreakBefore w:val="0"/>
        <w:kinsoku/>
        <w:wordWrap/>
        <w:overflowPunct/>
        <w:bidi w:val="0"/>
        <w:snapToGrid/>
        <w:spacing w:line="560" w:lineRule="exact"/>
        <w:jc w:val="center"/>
        <w:textAlignment w:val="auto"/>
        <w:outlineLvl w:val="0"/>
        <w:rPr>
          <w:rFonts w:hint="eastAsia" w:ascii="方正小标宋_GBK" w:hAnsi="黑体" w:eastAsia="方正小标宋_GBK" w:cs="黑体"/>
          <w:color w:val="000000"/>
          <w:sz w:val="44"/>
          <w:szCs w:val="44"/>
        </w:rPr>
      </w:pPr>
      <w:r>
        <w:rPr>
          <w:rFonts w:hint="eastAsia" w:ascii="方正小标宋_GBK" w:hAnsi="黑体" w:eastAsia="方正小标宋_GBK" w:cs="黑体"/>
          <w:color w:val="000000"/>
          <w:sz w:val="44"/>
          <w:szCs w:val="44"/>
        </w:rPr>
        <w:t>第二章  “十三五”时期安全生产总体要求</w:t>
      </w:r>
      <w:bookmarkEnd w:id="5"/>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“十三五”时期（2016～2020年），是我</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全面建成小康社会的决胜时期，也是</w:t>
      </w:r>
      <w:r>
        <w:rPr>
          <w:rFonts w:hint="eastAsia" w:ascii="仿宋_GB2312" w:hAnsi="仿宋" w:eastAsia="仿宋_GB2312" w:cs="仿宋"/>
          <w:color w:val="000000"/>
          <w:sz w:val="32"/>
          <w:szCs w:val="32"/>
          <w:lang w:val="en-US" w:eastAsia="zh-CN"/>
        </w:rPr>
        <w:t>我区</w:t>
      </w:r>
      <w:r>
        <w:rPr>
          <w:rFonts w:hint="eastAsia" w:ascii="仿宋_GB2312" w:hAnsi="仿宋" w:eastAsia="仿宋_GB2312" w:cs="仿宋"/>
          <w:color w:val="000000"/>
          <w:sz w:val="32"/>
          <w:szCs w:val="32"/>
        </w:rPr>
        <w:t>全面深化改革、全面依法治</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全面从严治党，加快转变经济发展方式的关键时期，更是全面实施粤东西北振兴发展战略率先突破的攻坚时期。安全生产面临新任务和新要求，科学编制和有效实施安全生产“十三五”规划，实现安全发展，意义重大。</w:t>
      </w:r>
    </w:p>
    <w:p>
      <w:pPr>
        <w:pStyle w:val="15"/>
        <w:pageBreakBefore w:val="0"/>
        <w:kinsoku/>
        <w:wordWrap/>
        <w:overflowPunct/>
        <w:bidi w:val="0"/>
        <w:snapToGrid/>
        <w:spacing w:line="560" w:lineRule="exact"/>
        <w:ind w:firstLine="420" w:firstLineChars="200"/>
        <w:textAlignment w:val="auto"/>
        <w:rPr>
          <w:rFonts w:hint="eastAsia" w:ascii="仿宋_GB2312" w:hAnsi="仿宋" w:eastAsia="仿宋_GB2312" w:cs="仿宋"/>
          <w:color w:val="000000"/>
          <w:szCs w:val="32"/>
        </w:rPr>
      </w:pPr>
    </w:p>
    <w:p>
      <w:pPr>
        <w:pStyle w:val="15"/>
        <w:pageBreakBefore w:val="0"/>
        <w:kinsoku/>
        <w:wordWrap/>
        <w:overflowPunct/>
        <w:bidi w:val="0"/>
        <w:snapToGrid/>
        <w:spacing w:line="560" w:lineRule="exact"/>
        <w:jc w:val="center"/>
        <w:textAlignment w:val="auto"/>
        <w:outlineLvl w:val="1"/>
        <w:rPr>
          <w:rFonts w:hint="eastAsia" w:ascii="黑体" w:hAnsi="黑体" w:eastAsia="黑体" w:cs="仿宋"/>
          <w:bCs/>
          <w:color w:val="000000"/>
          <w:sz w:val="32"/>
          <w:szCs w:val="32"/>
        </w:rPr>
      </w:pPr>
      <w:bookmarkStart w:id="6" w:name="_Toc16116"/>
      <w:bookmarkStart w:id="7" w:name="_Toc423680982"/>
      <w:bookmarkStart w:id="8" w:name="_Toc425086781"/>
      <w:r>
        <w:rPr>
          <w:rFonts w:hint="eastAsia" w:ascii="黑体" w:hAnsi="黑体" w:eastAsia="黑体" w:cs="仿宋"/>
          <w:bCs/>
          <w:color w:val="000000"/>
          <w:sz w:val="32"/>
          <w:szCs w:val="32"/>
        </w:rPr>
        <w:t>第一节  指导思想</w:t>
      </w:r>
      <w:bookmarkEnd w:id="6"/>
    </w:p>
    <w:bookmarkEnd w:id="7"/>
    <w:p>
      <w:pPr>
        <w:pStyle w:val="15"/>
        <w:pageBreakBefore w:val="0"/>
        <w:kinsoku/>
        <w:wordWrap/>
        <w:overflowPunct/>
        <w:bidi w:val="0"/>
        <w:snapToGrid/>
        <w:spacing w:line="560" w:lineRule="exact"/>
        <w:ind w:firstLine="640" w:firstLineChars="200"/>
        <w:textAlignment w:val="auto"/>
        <w:rPr>
          <w:rFonts w:hint="eastAsia" w:ascii="仿宋_GB2312" w:hAnsi="黑体" w:eastAsia="仿宋_GB2312"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r>
        <w:rPr>
          <w:rFonts w:hint="eastAsia" w:ascii="仿宋_GB2312" w:hAnsi="仿宋" w:eastAsia="仿宋_GB2312" w:cs="仿宋"/>
          <w:color w:val="000000"/>
          <w:sz w:val="32"/>
          <w:szCs w:val="32"/>
        </w:rPr>
        <w:t>全面贯彻落实党的十八大、十八届三中、四中、五中、六中全会精神，全面贯彻依法治国，全面贯彻落实安全生产法，坚持以人为本，牢固树立安全发展的理念，强化安全生产“红线意识”，切实转变经济发展方式，把经济发展建立在安全生产有可靠保证的基础上；坚持“安全第一、预防为主、综合治理”方针，从管理、制度、标准和技术等方面全面加强企业安全管理；坚持依法规范生产经营活动，集中整治非法违法行为，强化安全生产责任落实和责任追究。紧紧抓住重点行业领域，施以更加严格严厉的安全生产综合治理措施，形成安全生产长效机制，着力构建城市安全发展保障体系，促进安全生产状况根本好转</w:t>
      </w:r>
      <w:r>
        <w:rPr>
          <w:rFonts w:hint="eastAsia" w:ascii="仿宋" w:hAnsi="仿宋" w:eastAsia="仿宋" w:cs="仿宋"/>
          <w:color w:val="000000"/>
          <w:sz w:val="32"/>
          <w:szCs w:val="32"/>
        </w:rPr>
        <w:t>。</w:t>
      </w:r>
    </w:p>
    <w:p>
      <w:pPr>
        <w:pStyle w:val="23"/>
        <w:pageBreakBefore w:val="0"/>
        <w:kinsoku/>
        <w:wordWrap/>
        <w:overflowPunct/>
        <w:bidi w:val="0"/>
        <w:snapToGrid/>
        <w:spacing w:line="560" w:lineRule="exact"/>
        <w:ind w:firstLine="0" w:firstLineChars="0"/>
        <w:jc w:val="center"/>
        <w:textAlignment w:val="auto"/>
        <w:rPr>
          <w:rFonts w:hint="eastAsia" w:ascii="仿宋" w:hAnsi="仿宋" w:eastAsia="仿宋" w:cs="仿宋"/>
          <w:b/>
          <w:bCs/>
          <w:color w:val="000000"/>
          <w:sz w:val="32"/>
          <w:szCs w:val="32"/>
        </w:rPr>
      </w:pPr>
      <w:bookmarkStart w:id="9" w:name="_Toc12561"/>
      <w:bookmarkStart w:id="10" w:name="_Toc423680983"/>
      <w:r>
        <w:rPr>
          <w:rFonts w:hint="eastAsia" w:ascii="黑体" w:hAnsi="黑体" w:eastAsia="黑体" w:cs="仿宋"/>
          <w:b w:val="0"/>
          <w:color w:val="000000"/>
        </w:rPr>
        <w:t>第二节</w:t>
      </w:r>
      <w:r>
        <w:rPr>
          <w:rFonts w:hint="eastAsia" w:ascii="黑体" w:hAnsi="黑体" w:eastAsia="黑体" w:cs="仿宋"/>
          <w:b w:val="0"/>
          <w:bCs w:val="0"/>
          <w:color w:val="000000"/>
        </w:rPr>
        <w:t xml:space="preserve">  </w:t>
      </w:r>
      <w:r>
        <w:rPr>
          <w:rFonts w:hint="eastAsia" w:ascii="黑体" w:hAnsi="黑体" w:eastAsia="黑体" w:cs="仿宋"/>
          <w:b w:val="0"/>
          <w:color w:val="000000"/>
        </w:rPr>
        <w:t>基本原则</w:t>
      </w:r>
      <w:bookmarkEnd w:id="9"/>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以人为本，安全发展。</w:t>
      </w:r>
      <w:r>
        <w:rPr>
          <w:rFonts w:hint="eastAsia" w:ascii="仿宋_GB2312" w:hAnsi="仿宋" w:eastAsia="仿宋_GB2312" w:cs="仿宋"/>
          <w:color w:val="000000"/>
          <w:sz w:val="32"/>
          <w:szCs w:val="32"/>
        </w:rPr>
        <w:t>牢固树立新发展理念，坚持以人为本、以民为本，坚持人民利益至上，坚决防范生产安全事故，确保人民生命财产安全。牢固树立发展决不能以牺牲安全为代价的红线意识，坚持标本兼治、综合治理、系统建设，统筹推进安全生产领域改革发展，实现科学发展，安全发展。</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统筹协调，齐抓共管。</w:t>
      </w:r>
      <w:r>
        <w:rPr>
          <w:rFonts w:hint="eastAsia" w:ascii="仿宋_GB2312" w:hAnsi="仿宋" w:eastAsia="仿宋_GB2312" w:cs="仿宋"/>
          <w:color w:val="000000"/>
          <w:sz w:val="32"/>
          <w:szCs w:val="32"/>
        </w:rPr>
        <w:t>统筹全</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安全生产工作，把安全生产纳入经济建设和社会管理创新的重要内容，正确处理安全和发展的关系，坚持安全工作与经济社会同步发展，并作为发展的前提来抓，确保经济和社会发展建立在安全生产有可靠保障的基础上。加强开放合作，协调联动，确保区域、行业（领域）安全生产工作协调发展。</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依靠科技，创新驱动。</w:t>
      </w:r>
      <w:r>
        <w:rPr>
          <w:rFonts w:hint="eastAsia" w:ascii="仿宋_GB2312" w:hAnsi="仿宋" w:eastAsia="仿宋_GB2312" w:cs="仿宋"/>
          <w:color w:val="000000"/>
          <w:sz w:val="32"/>
          <w:szCs w:val="32"/>
        </w:rPr>
        <w:t>坚持科技强安，充分发挥科学技术对安全生产工作信息化、现代化的支撑和引领作用。建立企业、政府、社会多元投入机制，大力开展安全科技研发与成果推广应用，提高本质安全水平。</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强化法治，综合治理。</w:t>
      </w:r>
      <w:r>
        <w:rPr>
          <w:rFonts w:hint="eastAsia" w:ascii="仿宋_GB2312" w:hAnsi="仿宋" w:eastAsia="仿宋_GB2312" w:cs="仿宋"/>
          <w:color w:val="000000"/>
          <w:sz w:val="32"/>
          <w:szCs w:val="32"/>
        </w:rPr>
        <w:t>坚持依法行政，运用法治思维和手段解决安全生产面临的矛盾与问题，完善安全生产法规、制度，严格安全生产执法。综合运用法律、经济、技术和必要的行政手段，加快形成规范的安全生产法治体系。提升全民安全生产素养，营造全民关注、公众参与、社会监督的良好氛围，提高安全生产现代化治理能力。</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pacing w:val="-6"/>
          <w:sz w:val="32"/>
          <w:szCs w:val="32"/>
        </w:rPr>
      </w:pPr>
      <w:r>
        <w:rPr>
          <w:rFonts w:hint="eastAsia" w:ascii="仿宋_GB2312" w:hAnsi="仿宋" w:eastAsia="仿宋_GB2312" w:cs="仿宋"/>
          <w:b/>
          <w:bCs/>
          <w:color w:val="000000"/>
          <w:sz w:val="32"/>
          <w:szCs w:val="32"/>
        </w:rPr>
        <w:t>突出预防，强化责任。</w:t>
      </w:r>
      <w:r>
        <w:rPr>
          <w:rFonts w:hint="eastAsia" w:ascii="仿宋_GB2312" w:hAnsi="仿宋" w:eastAsia="仿宋_GB2312" w:cs="仿宋"/>
          <w:color w:val="000000"/>
          <w:sz w:val="32"/>
          <w:szCs w:val="32"/>
        </w:rPr>
        <w:t>坚持关口前移、重心下移。完善和落实安全生产责任和管理制度，健全“党政同责、一岗双责、失职追责”的安全生产责任体系，坚持“管行业必须管安全、管业务必须管安全、管生产经营必须管安全”，落实企业安全生产主体责</w:t>
      </w:r>
      <w:r>
        <w:rPr>
          <w:rFonts w:hint="eastAsia" w:ascii="仿宋_GB2312" w:hAnsi="仿宋" w:eastAsia="仿宋_GB2312" w:cs="仿宋"/>
          <w:color w:val="000000"/>
          <w:spacing w:val="-6"/>
          <w:sz w:val="32"/>
          <w:szCs w:val="32"/>
        </w:rPr>
        <w:t>任；完善财政保障、管理运行和监督问责机制，强化法规标准、风险预控、科技创新、应急救援等体系建设，强化行业自律，夯实安全生产基础；注重抓重点、补短板，从源头上防范和遏制事故。</w:t>
      </w:r>
    </w:p>
    <w:p>
      <w:pPr>
        <w:pStyle w:val="15"/>
        <w:pageBreakBefore w:val="0"/>
        <w:kinsoku/>
        <w:wordWrap/>
        <w:overflowPunct/>
        <w:bidi w:val="0"/>
        <w:snapToGrid/>
        <w:spacing w:line="560" w:lineRule="exact"/>
        <w:ind w:firstLine="396" w:firstLineChars="200"/>
        <w:textAlignment w:val="auto"/>
        <w:rPr>
          <w:rFonts w:hint="eastAsia" w:ascii="仿宋" w:hAnsi="仿宋" w:eastAsia="仿宋" w:cs="仿宋"/>
          <w:color w:val="000000"/>
          <w:spacing w:val="-6"/>
          <w:szCs w:val="32"/>
        </w:rPr>
      </w:pPr>
    </w:p>
    <w:p>
      <w:pPr>
        <w:pStyle w:val="15"/>
        <w:pageBreakBefore w:val="0"/>
        <w:numPr>
          <w:ilvl w:val="0"/>
          <w:numId w:val="3"/>
        </w:numPr>
        <w:kinsoku/>
        <w:wordWrap/>
        <w:overflowPunct/>
        <w:bidi w:val="0"/>
        <w:snapToGrid/>
        <w:spacing w:line="560" w:lineRule="exact"/>
        <w:jc w:val="center"/>
        <w:textAlignment w:val="auto"/>
        <w:outlineLvl w:val="1"/>
        <w:rPr>
          <w:rFonts w:hint="eastAsia" w:ascii="黑体" w:hAnsi="黑体" w:eastAsia="黑体" w:cs="仿宋"/>
          <w:bCs/>
          <w:color w:val="000000"/>
          <w:sz w:val="32"/>
          <w:szCs w:val="32"/>
        </w:rPr>
      </w:pPr>
      <w:bookmarkStart w:id="11" w:name="_Toc14399"/>
      <w:r>
        <w:rPr>
          <w:rFonts w:hint="eastAsia" w:ascii="黑体" w:hAnsi="黑体" w:eastAsia="黑体" w:cs="仿宋"/>
          <w:bCs/>
          <w:color w:val="000000"/>
          <w:sz w:val="32"/>
          <w:szCs w:val="32"/>
        </w:rPr>
        <w:t xml:space="preserve">  规划目标</w:t>
      </w:r>
      <w:bookmarkEnd w:id="11"/>
    </w:p>
    <w:bookmarkEnd w:id="10"/>
    <w:p>
      <w:pPr>
        <w:pStyle w:val="15"/>
        <w:pageBreakBefore w:val="0"/>
        <w:widowControl/>
        <w:shd w:val="clear" w:color="auto" w:fill="FFFFFF"/>
        <w:kinsoku/>
        <w:wordWrap/>
        <w:overflowPunct/>
        <w:bidi w:val="0"/>
        <w:snapToGrid/>
        <w:spacing w:line="560" w:lineRule="exact"/>
        <w:ind w:firstLine="645"/>
        <w:jc w:val="left"/>
        <w:textAlignment w:val="auto"/>
        <w:rPr>
          <w:rFonts w:hint="eastAsia" w:ascii="仿宋" w:hAnsi="仿宋" w:eastAsia="仿宋" w:cs="仿宋"/>
          <w:color w:val="000000"/>
          <w:sz w:val="32"/>
          <w:szCs w:val="32"/>
        </w:rPr>
      </w:pPr>
    </w:p>
    <w:p>
      <w:pPr>
        <w:pStyle w:val="15"/>
        <w:pageBreakBefore w:val="0"/>
        <w:widowControl/>
        <w:shd w:val="clear" w:color="auto" w:fill="FFFFFF"/>
        <w:kinsoku/>
        <w:wordWrap/>
        <w:overflowPunct/>
        <w:bidi w:val="0"/>
        <w:snapToGrid/>
        <w:spacing w:line="560" w:lineRule="exact"/>
        <w:ind w:firstLine="645"/>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严控生产安全事故起数、生产安全事故死亡人数、亿元国内生产总值生产安全事故死亡率、工矿商贸就业人员十万人生产安全事故死亡率、营运车辆</w:t>
      </w:r>
      <w:r>
        <w:rPr>
          <w:rFonts w:hint="eastAsia" w:ascii="仿宋_GB2312" w:hAnsi="仿宋" w:eastAsia="仿宋_GB2312" w:cs="仿宋"/>
          <w:color w:val="000000"/>
          <w:sz w:val="32"/>
          <w:szCs w:val="32"/>
          <w:highlight w:val="none"/>
        </w:rPr>
        <w:t>万车</w:t>
      </w:r>
      <w:r>
        <w:rPr>
          <w:rFonts w:hint="eastAsia" w:ascii="仿宋_GB2312" w:hAnsi="仿宋" w:eastAsia="仿宋_GB2312" w:cs="仿宋"/>
          <w:color w:val="000000"/>
          <w:sz w:val="32"/>
          <w:szCs w:val="32"/>
        </w:rPr>
        <w:t>死亡率，力争与2015年相比，到2018年及2020年分别下降6%和</w:t>
      </w:r>
      <w:r>
        <w:rPr>
          <w:rFonts w:hint="eastAsia" w:ascii="仿宋_GB2312" w:hAnsi="仿宋" w:eastAsia="仿宋_GB2312" w:cs="仿宋"/>
          <w:color w:val="000000"/>
          <w:sz w:val="32"/>
          <w:szCs w:val="32"/>
          <w:lang w:val="en-US" w:eastAsia="zh-CN"/>
        </w:rPr>
        <w:t>10</w:t>
      </w:r>
      <w:r>
        <w:rPr>
          <w:rFonts w:hint="eastAsia" w:ascii="仿宋_GB2312" w:hAnsi="仿宋" w:eastAsia="仿宋_GB2312" w:cs="仿宋"/>
          <w:color w:val="000000"/>
          <w:sz w:val="32"/>
          <w:szCs w:val="32"/>
        </w:rPr>
        <w:t>%，6%和</w:t>
      </w:r>
      <w:r>
        <w:rPr>
          <w:rFonts w:hint="eastAsia" w:ascii="仿宋_GB2312" w:hAnsi="仿宋" w:eastAsia="仿宋_GB2312" w:cs="仿宋"/>
          <w:color w:val="000000"/>
          <w:sz w:val="32"/>
          <w:szCs w:val="32"/>
          <w:lang w:val="en-US" w:eastAsia="zh-CN"/>
        </w:rPr>
        <w:t>10</w:t>
      </w:r>
      <w:r>
        <w:rPr>
          <w:rFonts w:hint="eastAsia" w:ascii="仿宋_GB2312" w:hAnsi="仿宋" w:eastAsia="仿宋_GB2312" w:cs="仿宋"/>
          <w:color w:val="000000"/>
          <w:sz w:val="32"/>
          <w:szCs w:val="32"/>
        </w:rPr>
        <w:t>%，</w:t>
      </w:r>
      <w:r>
        <w:rPr>
          <w:rFonts w:hint="eastAsia" w:ascii="仿宋_GB2312" w:hAnsi="仿宋" w:eastAsia="仿宋_GB2312" w:cs="仿宋"/>
          <w:color w:val="000000"/>
          <w:sz w:val="32"/>
          <w:szCs w:val="32"/>
          <w:u w:val="none"/>
        </w:rPr>
        <w:t>19.3%和30%，3.6%和6%，3.6%和6%。</w:t>
      </w:r>
      <w:r>
        <w:rPr>
          <w:rFonts w:hint="eastAsia" w:ascii="仿宋_GB2312" w:hAnsi="仿宋" w:eastAsia="仿宋_GB2312" w:cs="仿宋"/>
          <w:color w:val="000000"/>
          <w:sz w:val="32"/>
          <w:szCs w:val="32"/>
        </w:rPr>
        <w:t>并力争在2020年基本形成规范的安全生产法治秩序，生产安全事故和职业病危害得到有效防范。</w:t>
      </w:r>
    </w:p>
    <w:tbl>
      <w:tblPr>
        <w:tblStyle w:val="7"/>
        <w:tblW w:w="8740" w:type="dxa"/>
        <w:jc w:val="center"/>
        <w:tblInd w:w="0" w:type="dxa"/>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
      <w:tblGrid>
        <w:gridCol w:w="802"/>
        <w:gridCol w:w="5217"/>
        <w:gridCol w:w="1379"/>
        <w:gridCol w:w="1342"/>
      </w:tblGrid>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486" w:hRule="atLeast"/>
          <w:jc w:val="center"/>
        </w:trPr>
        <w:tc>
          <w:tcPr>
            <w:tcW w:w="8740" w:type="dxa"/>
            <w:gridSpan w:val="4"/>
            <w:tcBorders>
              <w:bottom w:val="single" w:color="auto" w:sz="4" w:space="0"/>
            </w:tcBorders>
            <w:shd w:val="clear" w:color="auto" w:fill="auto"/>
            <w:vAlign w:val="top"/>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b/>
                <w:bCs/>
                <w:color w:val="000000"/>
                <w:sz w:val="32"/>
                <w:szCs w:val="32"/>
              </w:rPr>
              <w:t>专栏2 安全生产“十三五”规划主要指标</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885" w:hRule="atLeast"/>
          <w:jc w:val="center"/>
        </w:trPr>
        <w:tc>
          <w:tcPr>
            <w:tcW w:w="802" w:type="dxa"/>
            <w:vMerge w:val="restart"/>
            <w:tcBorders>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序号</w:t>
            </w:r>
          </w:p>
        </w:tc>
        <w:tc>
          <w:tcPr>
            <w:tcW w:w="5217" w:type="dxa"/>
            <w:vMerge w:val="restart"/>
            <w:tcBorders>
              <w:left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指标名称</w:t>
            </w:r>
          </w:p>
        </w:tc>
        <w:tc>
          <w:tcPr>
            <w:tcW w:w="2721" w:type="dxa"/>
            <w:gridSpan w:val="2"/>
            <w:tcBorders>
              <w:left w:val="single" w:color="auto" w:sz="4" w:space="0"/>
              <w:bottom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降幅</w:t>
            </w:r>
          </w:p>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（与2015年比）</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502" w:hRule="atLeast"/>
          <w:jc w:val="center"/>
        </w:trPr>
        <w:tc>
          <w:tcPr>
            <w:tcW w:w="802" w:type="dxa"/>
            <w:vMerge w:val="continue"/>
            <w:tcBorders>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p>
        </w:tc>
        <w:tc>
          <w:tcPr>
            <w:tcW w:w="5217" w:type="dxa"/>
            <w:vMerge w:val="continue"/>
            <w:tcBorders>
              <w:left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p>
        </w:tc>
        <w:tc>
          <w:tcPr>
            <w:tcW w:w="1379" w:type="dxa"/>
            <w:tcBorders>
              <w:left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2018年</w:t>
            </w:r>
          </w:p>
        </w:tc>
        <w:tc>
          <w:tcPr>
            <w:tcW w:w="1342" w:type="dxa"/>
            <w:tcBorders>
              <w:left w:val="single" w:color="auto" w:sz="4" w:space="0"/>
              <w:bottom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2020年</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476" w:hRule="atLeast"/>
          <w:jc w:val="center"/>
        </w:trPr>
        <w:tc>
          <w:tcPr>
            <w:tcW w:w="802" w:type="dxa"/>
            <w:tcBorders>
              <w:top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1</w:t>
            </w:r>
          </w:p>
        </w:tc>
        <w:tc>
          <w:tcPr>
            <w:tcW w:w="52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kern w:val="0"/>
                <w:sz w:val="28"/>
                <w:szCs w:val="28"/>
              </w:rPr>
            </w:pPr>
            <w:r>
              <w:rPr>
                <w:rFonts w:hint="eastAsia" w:ascii="仿宋_GB2312" w:hAnsi="仿宋" w:eastAsia="仿宋_GB2312" w:cs="仿宋"/>
                <w:color w:val="000000"/>
                <w:kern w:val="0"/>
                <w:sz w:val="28"/>
                <w:szCs w:val="28"/>
              </w:rPr>
              <w:t>生产安全事故起数</w:t>
            </w:r>
          </w:p>
        </w:tc>
        <w:tc>
          <w:tcPr>
            <w:tcW w:w="137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rPr>
            </w:pPr>
            <w:r>
              <w:rPr>
                <w:rFonts w:hint="eastAsia" w:ascii="仿宋_GB2312" w:hAnsi="仿宋" w:cs="仿宋"/>
                <w:color w:val="000000"/>
                <w:sz w:val="28"/>
                <w:szCs w:val="28"/>
              </w:rPr>
              <w:t>6%</w:t>
            </w:r>
          </w:p>
        </w:tc>
        <w:tc>
          <w:tcPr>
            <w:tcW w:w="1342" w:type="dxa"/>
            <w:tcBorders>
              <w:top w:val="single" w:color="auto" w:sz="4" w:space="0"/>
              <w:left w:val="single" w:color="auto" w:sz="4" w:space="0"/>
              <w:bottom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rPr>
            </w:pPr>
            <w:r>
              <w:rPr>
                <w:rFonts w:hint="eastAsia" w:ascii="仿宋_GB2312" w:hAnsi="仿宋" w:cs="仿宋"/>
                <w:color w:val="000000"/>
                <w:sz w:val="28"/>
                <w:szCs w:val="28"/>
                <w:lang w:val="en-US" w:eastAsia="zh-CN"/>
              </w:rPr>
              <w:t>10</w:t>
            </w:r>
            <w:r>
              <w:rPr>
                <w:rFonts w:hint="eastAsia" w:ascii="仿宋_GB2312" w:hAnsi="仿宋" w:cs="仿宋"/>
                <w:color w:val="000000"/>
                <w:sz w:val="28"/>
                <w:szCs w:val="28"/>
              </w:rPr>
              <w:t>%</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444" w:hRule="atLeast"/>
          <w:jc w:val="center"/>
        </w:trPr>
        <w:tc>
          <w:tcPr>
            <w:tcW w:w="802" w:type="dxa"/>
            <w:tcBorders>
              <w:top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rPr>
            </w:pPr>
            <w:r>
              <w:rPr>
                <w:rFonts w:hint="eastAsia" w:ascii="仿宋_GB2312" w:hAnsi="仿宋" w:eastAsia="仿宋_GB2312" w:cs="仿宋"/>
                <w:color w:val="000000"/>
                <w:sz w:val="28"/>
                <w:szCs w:val="28"/>
              </w:rPr>
              <w:t>2</w:t>
            </w:r>
          </w:p>
        </w:tc>
        <w:tc>
          <w:tcPr>
            <w:tcW w:w="52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kern w:val="0"/>
                <w:sz w:val="28"/>
                <w:szCs w:val="28"/>
              </w:rPr>
            </w:pPr>
            <w:r>
              <w:rPr>
                <w:rFonts w:hint="eastAsia" w:ascii="仿宋_GB2312" w:hAnsi="仿宋" w:eastAsia="仿宋_GB2312" w:cs="仿宋"/>
                <w:color w:val="000000"/>
                <w:kern w:val="0"/>
                <w:sz w:val="28"/>
                <w:szCs w:val="28"/>
              </w:rPr>
              <w:t>生产安全事故死亡人数</w:t>
            </w:r>
          </w:p>
        </w:tc>
        <w:tc>
          <w:tcPr>
            <w:tcW w:w="137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rPr>
            </w:pPr>
            <w:r>
              <w:rPr>
                <w:rFonts w:hint="eastAsia" w:ascii="仿宋_GB2312" w:hAnsi="仿宋" w:cs="仿宋"/>
                <w:color w:val="000000"/>
                <w:sz w:val="28"/>
                <w:szCs w:val="28"/>
              </w:rPr>
              <w:t>6%</w:t>
            </w:r>
          </w:p>
        </w:tc>
        <w:tc>
          <w:tcPr>
            <w:tcW w:w="1342" w:type="dxa"/>
            <w:tcBorders>
              <w:top w:val="single" w:color="auto" w:sz="4" w:space="0"/>
              <w:left w:val="single" w:color="auto" w:sz="4" w:space="0"/>
              <w:bottom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rPr>
            </w:pPr>
            <w:r>
              <w:rPr>
                <w:rFonts w:hint="eastAsia" w:ascii="仿宋_GB2312" w:hAnsi="仿宋" w:cs="仿宋"/>
                <w:color w:val="000000"/>
                <w:sz w:val="28"/>
                <w:szCs w:val="28"/>
                <w:lang w:val="en-US" w:eastAsia="zh-CN"/>
              </w:rPr>
              <w:t>10</w:t>
            </w:r>
            <w:r>
              <w:rPr>
                <w:rFonts w:hint="eastAsia" w:ascii="仿宋_GB2312" w:hAnsi="仿宋" w:cs="仿宋"/>
                <w:color w:val="000000"/>
                <w:sz w:val="28"/>
                <w:szCs w:val="28"/>
              </w:rPr>
              <w:t>%</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556" w:hRule="atLeast"/>
          <w:jc w:val="center"/>
        </w:trPr>
        <w:tc>
          <w:tcPr>
            <w:tcW w:w="802" w:type="dxa"/>
            <w:tcBorders>
              <w:top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highlight w:val="none"/>
              </w:rPr>
            </w:pPr>
            <w:r>
              <w:rPr>
                <w:rFonts w:hint="eastAsia" w:ascii="仿宋_GB2312" w:hAnsi="仿宋" w:eastAsia="仿宋_GB2312" w:cs="仿宋"/>
                <w:color w:val="000000"/>
                <w:sz w:val="28"/>
                <w:szCs w:val="28"/>
                <w:highlight w:val="none"/>
              </w:rPr>
              <w:t>3</w:t>
            </w:r>
          </w:p>
        </w:tc>
        <w:tc>
          <w:tcPr>
            <w:tcW w:w="52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sz w:val="28"/>
                <w:szCs w:val="28"/>
                <w:highlight w:val="none"/>
              </w:rPr>
            </w:pPr>
            <w:r>
              <w:rPr>
                <w:rFonts w:hint="eastAsia" w:ascii="仿宋_GB2312" w:hAnsi="仿宋" w:eastAsia="仿宋_GB2312" w:cs="仿宋"/>
                <w:color w:val="000000"/>
                <w:kern w:val="0"/>
                <w:sz w:val="28"/>
                <w:szCs w:val="28"/>
                <w:highlight w:val="none"/>
                <w:shd w:val="clear"/>
              </w:rPr>
              <w:t>亿元国内生产总值生产安全事故死亡率</w:t>
            </w:r>
          </w:p>
        </w:tc>
        <w:tc>
          <w:tcPr>
            <w:tcW w:w="137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highlight w:val="none"/>
              </w:rPr>
            </w:pPr>
            <w:r>
              <w:rPr>
                <w:rFonts w:hint="eastAsia" w:ascii="仿宋_GB2312" w:hAnsi="仿宋" w:cs="仿宋"/>
                <w:color w:val="000000"/>
                <w:sz w:val="28"/>
                <w:szCs w:val="28"/>
                <w:highlight w:val="none"/>
              </w:rPr>
              <w:t>19.3%</w:t>
            </w:r>
          </w:p>
        </w:tc>
        <w:tc>
          <w:tcPr>
            <w:tcW w:w="1342" w:type="dxa"/>
            <w:tcBorders>
              <w:top w:val="single" w:color="auto" w:sz="4" w:space="0"/>
              <w:left w:val="single" w:color="auto" w:sz="4" w:space="0"/>
              <w:bottom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highlight w:val="none"/>
              </w:rPr>
            </w:pPr>
            <w:r>
              <w:rPr>
                <w:rFonts w:hint="eastAsia" w:ascii="仿宋_GB2312" w:hAnsi="仿宋" w:cs="仿宋"/>
                <w:color w:val="000000"/>
                <w:sz w:val="28"/>
                <w:szCs w:val="28"/>
                <w:highlight w:val="none"/>
              </w:rPr>
              <w:t>30%</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535" w:hRule="atLeast"/>
          <w:jc w:val="center"/>
        </w:trPr>
        <w:tc>
          <w:tcPr>
            <w:tcW w:w="802" w:type="dxa"/>
            <w:tcBorders>
              <w:top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highlight w:val="none"/>
              </w:rPr>
            </w:pPr>
            <w:r>
              <w:rPr>
                <w:rFonts w:hint="eastAsia" w:ascii="仿宋_GB2312" w:hAnsi="仿宋" w:eastAsia="仿宋_GB2312" w:cs="仿宋"/>
                <w:color w:val="000000"/>
                <w:sz w:val="28"/>
                <w:szCs w:val="28"/>
                <w:highlight w:val="none"/>
              </w:rPr>
              <w:t>4</w:t>
            </w:r>
          </w:p>
        </w:tc>
        <w:tc>
          <w:tcPr>
            <w:tcW w:w="5217" w:type="dxa"/>
            <w:tcBorders>
              <w:top w:val="single" w:color="auto" w:sz="4" w:space="0"/>
              <w:left w:val="single" w:color="auto" w:sz="4" w:space="0"/>
              <w:bottom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28"/>
                <w:szCs w:val="28"/>
                <w:highlight w:val="none"/>
              </w:rPr>
            </w:pPr>
            <w:r>
              <w:rPr>
                <w:rFonts w:hint="eastAsia" w:ascii="仿宋_GB2312" w:hAnsi="仿宋" w:eastAsia="仿宋_GB2312" w:cs="仿宋"/>
                <w:color w:val="000000"/>
                <w:spacing w:val="-20"/>
                <w:kern w:val="0"/>
                <w:sz w:val="28"/>
                <w:szCs w:val="28"/>
                <w:highlight w:val="none"/>
              </w:rPr>
              <w:t>工矿商贸就业人员十万人生产安全事故死亡率</w:t>
            </w:r>
          </w:p>
        </w:tc>
        <w:tc>
          <w:tcPr>
            <w:tcW w:w="1379" w:type="dxa"/>
            <w:tcBorders>
              <w:top w:val="single" w:color="auto" w:sz="4" w:space="0"/>
              <w:left w:val="single" w:color="auto" w:sz="4" w:space="0"/>
              <w:bottom w:val="single" w:color="auto" w:sz="4" w:space="0"/>
              <w:right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highlight w:val="none"/>
              </w:rPr>
            </w:pPr>
            <w:r>
              <w:rPr>
                <w:rFonts w:hint="eastAsia" w:ascii="仿宋_GB2312" w:hAnsi="仿宋" w:cs="仿宋"/>
                <w:color w:val="000000"/>
                <w:sz w:val="28"/>
                <w:szCs w:val="28"/>
                <w:highlight w:val="none"/>
              </w:rPr>
              <w:t>3.6%</w:t>
            </w:r>
          </w:p>
        </w:tc>
        <w:tc>
          <w:tcPr>
            <w:tcW w:w="1342" w:type="dxa"/>
            <w:tcBorders>
              <w:top w:val="single" w:color="auto" w:sz="4" w:space="0"/>
              <w:left w:val="single" w:color="auto" w:sz="4" w:space="0"/>
              <w:bottom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highlight w:val="none"/>
              </w:rPr>
            </w:pPr>
            <w:r>
              <w:rPr>
                <w:rFonts w:hint="eastAsia" w:ascii="仿宋_GB2312" w:hAnsi="仿宋" w:cs="仿宋"/>
                <w:color w:val="000000"/>
                <w:sz w:val="28"/>
                <w:szCs w:val="28"/>
                <w:highlight w:val="none"/>
              </w:rPr>
              <w:t>6%</w:t>
            </w:r>
          </w:p>
        </w:tc>
      </w:tr>
      <w:tr>
        <w:tblPrEx>
          <w:tblBorders>
            <w:top w:val="single" w:color="auto" w:sz="4" w:space="0"/>
            <w:left w:val="single" w:color="auto" w:sz="4" w:space="0"/>
            <w:bottom w:val="single" w:color="auto" w:sz="4" w:space="0"/>
            <w:right w:val="single" w:color="auto" w:sz="4" w:space="0"/>
            <w:insideH w:val="dotted" w:color="auto" w:sz="4" w:space="0"/>
            <w:insideV w:val="single" w:color="auto" w:sz="6" w:space="0"/>
          </w:tblBorders>
          <w:shd w:val="clear" w:color="auto" w:fill="auto"/>
          <w:tblLayout w:type="fixed"/>
          <w:tblCellMar>
            <w:top w:w="0" w:type="dxa"/>
            <w:left w:w="108" w:type="dxa"/>
            <w:bottom w:w="0" w:type="dxa"/>
            <w:right w:w="108" w:type="dxa"/>
          </w:tblCellMar>
        </w:tblPrEx>
        <w:trPr>
          <w:trHeight w:val="545" w:hRule="atLeast"/>
          <w:jc w:val="center"/>
        </w:trPr>
        <w:tc>
          <w:tcPr>
            <w:tcW w:w="802" w:type="dxa"/>
            <w:tcBorders>
              <w:top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28"/>
                <w:szCs w:val="28"/>
                <w:highlight w:val="none"/>
              </w:rPr>
            </w:pPr>
            <w:r>
              <w:rPr>
                <w:rFonts w:hint="eastAsia" w:ascii="仿宋_GB2312" w:hAnsi="仿宋" w:eastAsia="仿宋_GB2312" w:cs="仿宋"/>
                <w:color w:val="000000"/>
                <w:sz w:val="28"/>
                <w:szCs w:val="28"/>
                <w:highlight w:val="none"/>
              </w:rPr>
              <w:t>5</w:t>
            </w:r>
          </w:p>
        </w:tc>
        <w:tc>
          <w:tcPr>
            <w:tcW w:w="5217" w:type="dxa"/>
            <w:tcBorders>
              <w:top w:val="single" w:color="auto" w:sz="4" w:space="0"/>
              <w:left w:val="single" w:color="auto" w:sz="4" w:space="0"/>
              <w:right w:val="single" w:color="auto" w:sz="4" w:space="0"/>
            </w:tcBorders>
            <w:shd w:val="clear" w:color="auto" w:fill="auto"/>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kern w:val="0"/>
                <w:sz w:val="28"/>
                <w:szCs w:val="28"/>
                <w:highlight w:val="none"/>
              </w:rPr>
            </w:pPr>
            <w:r>
              <w:rPr>
                <w:rFonts w:hint="eastAsia" w:ascii="仿宋_GB2312" w:hAnsi="仿宋" w:eastAsia="仿宋_GB2312" w:cs="仿宋"/>
                <w:color w:val="000000"/>
                <w:kern w:val="0"/>
                <w:sz w:val="28"/>
                <w:szCs w:val="28"/>
                <w:highlight w:val="none"/>
                <w:shd w:val="clear"/>
              </w:rPr>
              <w:t>营运车辆</w:t>
            </w:r>
            <w:r>
              <w:rPr>
                <w:rFonts w:hint="eastAsia" w:ascii="仿宋_GB2312" w:hAnsi="仿宋" w:eastAsia="仿宋_GB2312" w:cs="仿宋"/>
                <w:color w:val="000000"/>
                <w:kern w:val="0"/>
                <w:sz w:val="28"/>
                <w:szCs w:val="28"/>
                <w:highlight w:val="none"/>
              </w:rPr>
              <w:t>万车死亡率</w:t>
            </w:r>
          </w:p>
        </w:tc>
        <w:tc>
          <w:tcPr>
            <w:tcW w:w="1379" w:type="dxa"/>
            <w:tcBorders>
              <w:top w:val="single" w:color="auto" w:sz="4" w:space="0"/>
              <w:left w:val="single" w:color="auto" w:sz="4" w:space="0"/>
              <w:right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highlight w:val="none"/>
              </w:rPr>
            </w:pPr>
            <w:r>
              <w:rPr>
                <w:rFonts w:hint="eastAsia" w:ascii="仿宋_GB2312" w:hAnsi="仿宋" w:cs="仿宋"/>
                <w:color w:val="000000"/>
                <w:sz w:val="28"/>
                <w:szCs w:val="28"/>
                <w:highlight w:val="none"/>
              </w:rPr>
              <w:t>3.6%</w:t>
            </w:r>
          </w:p>
        </w:tc>
        <w:tc>
          <w:tcPr>
            <w:tcW w:w="1342" w:type="dxa"/>
            <w:tcBorders>
              <w:top w:val="single" w:color="auto" w:sz="4" w:space="0"/>
              <w:left w:val="single" w:color="auto" w:sz="4" w:space="0"/>
            </w:tcBorders>
            <w:shd w:val="clear" w:color="auto" w:fill="auto"/>
            <w:vAlign w:val="center"/>
          </w:tcPr>
          <w:p>
            <w:pPr>
              <w:pStyle w:val="45"/>
              <w:pageBreakBefore w:val="0"/>
              <w:kinsoku/>
              <w:wordWrap/>
              <w:overflowPunct/>
              <w:bidi w:val="0"/>
              <w:snapToGrid/>
              <w:spacing w:line="560" w:lineRule="exact"/>
              <w:jc w:val="center"/>
              <w:textAlignment w:val="auto"/>
              <w:rPr>
                <w:rFonts w:hint="eastAsia" w:ascii="仿宋_GB2312" w:hAnsi="仿宋" w:cs="仿宋"/>
                <w:color w:val="000000"/>
                <w:sz w:val="28"/>
                <w:szCs w:val="28"/>
                <w:highlight w:val="none"/>
              </w:rPr>
            </w:pPr>
            <w:r>
              <w:rPr>
                <w:rFonts w:hint="eastAsia" w:ascii="仿宋_GB2312" w:hAnsi="仿宋" w:cs="仿宋"/>
                <w:color w:val="000000"/>
                <w:sz w:val="28"/>
                <w:szCs w:val="28"/>
                <w:highlight w:val="none"/>
              </w:rPr>
              <w:t>6%</w:t>
            </w:r>
          </w:p>
        </w:tc>
      </w:tr>
      <w:bookmarkEnd w:id="8"/>
    </w:tbl>
    <w:p>
      <w:pPr>
        <w:pStyle w:val="15"/>
        <w:pageBreakBefore w:val="0"/>
        <w:widowControl/>
        <w:shd w:val="clear" w:color="auto" w:fill="FFFFFF"/>
        <w:kinsoku/>
        <w:wordWrap/>
        <w:overflowPunct/>
        <w:bidi w:val="0"/>
        <w:snapToGrid/>
        <w:spacing w:line="560" w:lineRule="exact"/>
        <w:ind w:firstLine="640"/>
        <w:jc w:val="left"/>
        <w:textAlignment w:val="auto"/>
        <w:outlineLvl w:val="1"/>
        <w:rPr>
          <w:rFonts w:hint="eastAsia" w:ascii="仿宋" w:hAnsi="仿宋" w:eastAsia="仿宋" w:cs="仿宋"/>
          <w:color w:val="000000"/>
          <w:kern w:val="0"/>
          <w:sz w:val="32"/>
          <w:szCs w:val="32"/>
        </w:rPr>
      </w:pPr>
      <w:bookmarkStart w:id="12" w:name="_Toc425086782"/>
    </w:p>
    <w:p>
      <w:pPr>
        <w:pStyle w:val="15"/>
        <w:pageBreakBefore w:val="0"/>
        <w:widowControl/>
        <w:numPr>
          <w:ilvl w:val="0"/>
          <w:numId w:val="4"/>
        </w:numPr>
        <w:shd w:val="clear" w:color="auto" w:fill="FFFFFF"/>
        <w:kinsoku/>
        <w:wordWrap/>
        <w:overflowPunct/>
        <w:bidi w:val="0"/>
        <w:snapToGrid/>
        <w:spacing w:line="560" w:lineRule="exact"/>
        <w:jc w:val="center"/>
        <w:textAlignment w:val="auto"/>
        <w:outlineLvl w:val="0"/>
        <w:rPr>
          <w:rFonts w:hint="eastAsia" w:ascii="方正小标宋_GBK" w:hAnsi="黑体" w:eastAsia="方正小标宋_GBK" w:cs="黑体"/>
          <w:color w:val="000000"/>
          <w:kern w:val="0"/>
          <w:sz w:val="44"/>
          <w:szCs w:val="44"/>
        </w:rPr>
      </w:pPr>
      <w:r>
        <w:rPr>
          <w:rFonts w:hint="eastAsia" w:ascii="方正小标宋_GBK" w:hAnsi="黑体" w:eastAsia="方正小标宋_GBK" w:cs="黑体"/>
          <w:color w:val="000000"/>
          <w:kern w:val="0"/>
          <w:sz w:val="44"/>
          <w:szCs w:val="44"/>
        </w:rPr>
        <w:t xml:space="preserve"> </w:t>
      </w:r>
      <w:bookmarkStart w:id="13" w:name="_Toc23443"/>
      <w:r>
        <w:rPr>
          <w:rFonts w:hint="eastAsia" w:ascii="方正小标宋_GBK" w:hAnsi="黑体" w:eastAsia="方正小标宋_GBK" w:cs="黑体"/>
          <w:color w:val="000000"/>
          <w:kern w:val="0"/>
          <w:sz w:val="44"/>
          <w:szCs w:val="44"/>
        </w:rPr>
        <w:t xml:space="preserve"> 健全完善安全生产责任体系</w:t>
      </w:r>
      <w:bookmarkEnd w:id="13"/>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rPr>
      </w:pPr>
      <w:r>
        <w:rPr>
          <w:rFonts w:hint="eastAsia" w:ascii="仿宋_GB2312" w:hAnsi="仿宋" w:eastAsia="仿宋_GB2312" w:cs="仿宋"/>
          <w:color w:val="000000"/>
          <w:sz w:val="32"/>
        </w:rPr>
        <w:t>进一步建立完善生产经营单位负责、职工参与、政府监管、行业自律和社会监督的安全生产工作机制和责任体系，强化责任落实。</w:t>
      </w:r>
    </w:p>
    <w:p>
      <w:pPr>
        <w:pStyle w:val="15"/>
        <w:pageBreakBefore w:val="0"/>
        <w:kinsoku/>
        <w:wordWrap/>
        <w:overflowPunct/>
        <w:bidi w:val="0"/>
        <w:snapToGrid/>
        <w:spacing w:line="560" w:lineRule="exact"/>
        <w:ind w:firstLine="640" w:firstLineChars="200"/>
        <w:textAlignment w:val="auto"/>
        <w:rPr>
          <w:rFonts w:hint="eastAsia" w:ascii="仿宋_GB2312" w:hAnsi="楷体" w:eastAsia="仿宋_GB2312" w:cs="楷体"/>
          <w:color w:val="000000"/>
          <w:kern w:val="0"/>
          <w:sz w:val="32"/>
          <w:szCs w:val="32"/>
        </w:rPr>
      </w:pPr>
    </w:p>
    <w:p>
      <w:pPr>
        <w:pStyle w:val="15"/>
        <w:pageBreakBefore w:val="0"/>
        <w:widowControl/>
        <w:shd w:val="clear" w:color="auto" w:fill="FFFFFF"/>
        <w:kinsoku/>
        <w:wordWrap/>
        <w:overflowPunct/>
        <w:bidi w:val="0"/>
        <w:snapToGrid/>
        <w:spacing w:line="560" w:lineRule="exact"/>
        <w:jc w:val="center"/>
        <w:textAlignment w:val="auto"/>
        <w:outlineLvl w:val="1"/>
        <w:rPr>
          <w:rFonts w:hint="eastAsia" w:ascii="黑体" w:hAnsi="黑体" w:eastAsia="黑体" w:cs="楷体"/>
          <w:bCs/>
          <w:color w:val="000000"/>
          <w:kern w:val="0"/>
          <w:sz w:val="32"/>
          <w:szCs w:val="32"/>
        </w:rPr>
      </w:pPr>
      <w:bookmarkStart w:id="14" w:name="_Toc4778"/>
      <w:r>
        <w:rPr>
          <w:rFonts w:hint="eastAsia" w:ascii="黑体" w:hAnsi="黑体" w:eastAsia="黑体" w:cs="楷体"/>
          <w:bCs/>
          <w:color w:val="000000"/>
          <w:kern w:val="0"/>
          <w:sz w:val="32"/>
          <w:szCs w:val="32"/>
        </w:rPr>
        <w:t>第一节  落实安全生产监管责任</w:t>
      </w:r>
      <w:bookmarkEnd w:id="14"/>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bookmarkStart w:id="15" w:name="_Toc136845447"/>
      <w:bookmarkEnd w:id="15"/>
      <w:bookmarkStart w:id="16" w:name="_Toc117320610"/>
      <w:bookmarkEnd w:id="16"/>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Cs w:val="32"/>
        </w:rPr>
      </w:pPr>
      <w:r>
        <w:rPr>
          <w:rFonts w:hint="eastAsia" w:ascii="仿宋_GB2312" w:hAnsi="仿宋" w:eastAsia="仿宋_GB2312" w:cs="仿宋"/>
          <w:color w:val="000000"/>
          <w:sz w:val="32"/>
          <w:szCs w:val="32"/>
        </w:rPr>
        <w:t>加强各级党委、政府对安全生产工作的领导，健全“党政同责、一岗双责、失职追责”的安全生产责任体系，明晰地方党委、政府及部门安全生产工作职责，落实属地监管责任。推行各级党委常委会议、政府常务会议定期专题研究解决安全生产重大问题。健全和落实党政主要领导研究部署、检查督促安全生产有关制度。进一步促进党政副职领导落实“一岗双责”安全生产责任，抓好分管部门和分管行业领域安全生产工作落实，严格落实</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镇</w:t>
      </w:r>
      <w:r>
        <w:rPr>
          <w:rFonts w:hint="eastAsia" w:ascii="仿宋_GB2312" w:hAnsi="仿宋" w:eastAsia="仿宋_GB2312" w:cs="仿宋"/>
          <w:color w:val="000000"/>
          <w:sz w:val="32"/>
          <w:szCs w:val="32"/>
          <w:lang w:val="en-US" w:eastAsia="zh-CN"/>
        </w:rPr>
        <w:t>二</w:t>
      </w:r>
      <w:r>
        <w:rPr>
          <w:rFonts w:hint="eastAsia" w:ascii="仿宋_GB2312" w:hAnsi="仿宋" w:eastAsia="仿宋_GB2312" w:cs="仿宋"/>
          <w:color w:val="000000"/>
          <w:sz w:val="32"/>
          <w:szCs w:val="32"/>
        </w:rPr>
        <w:t>级政府常务副职分管安全生产工作。按照“管行业必须管安全、管业务必须管安全、管生产经营必须管安全”的责任体系要求，各负有安全生产监督管理职责的部门依法具体负责本行业领域的安全生产与职业卫生监督管理工作，形成综合监管、行业监管与属地监管合力。制订各部门安全生产监管权力清单和责任清单，厘清责任边界，杜绝监管盲区，实行日常照单监管、失职照</w:t>
      </w:r>
      <w:r>
        <w:rPr>
          <w:rFonts w:hint="eastAsia" w:ascii="仿宋_GB2312" w:hAnsi="仿宋" w:eastAsia="仿宋_GB2312" w:cs="仿宋"/>
          <w:color w:val="000000"/>
          <w:sz w:val="32"/>
          <w:szCs w:val="32"/>
          <w:highlight w:val="none"/>
        </w:rPr>
        <w:t>单追责</w:t>
      </w:r>
      <w:r>
        <w:rPr>
          <w:rFonts w:hint="eastAsia" w:ascii="仿宋_GB2312" w:hAnsi="仿宋" w:eastAsia="仿宋_GB2312" w:cs="仿宋"/>
          <w:color w:val="000000"/>
          <w:sz w:val="32"/>
          <w:szCs w:val="32"/>
        </w:rPr>
        <w:t>。充分发挥各级安全生产委员会的指导协调、监督检查、巡查考核作用，建立部门间信息共享和协调联动的安全生产工作机制。将安全生产纳入政府社会管理和公共服务网格化建设范围，推行基层安全生产定区域、定人员、定责任的网格化动态监管制度。进一步完善安全生产激励约束机制，严格安全生产责任制考核、“一票否决”和约谈警示等制度，加大各级领导干部政绩业绩考核中安全生产的权重，严格执行责任追究制度。</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bookmarkEnd w:id="12"/>
    <w:p>
      <w:pPr>
        <w:pStyle w:val="15"/>
        <w:pageBreakBefore w:val="0"/>
        <w:widowControl/>
        <w:shd w:val="clear" w:color="auto" w:fill="FFFFFF"/>
        <w:kinsoku/>
        <w:wordWrap/>
        <w:overflowPunct/>
        <w:bidi w:val="0"/>
        <w:snapToGrid/>
        <w:spacing w:line="560" w:lineRule="exact"/>
        <w:jc w:val="center"/>
        <w:textAlignment w:val="auto"/>
        <w:outlineLvl w:val="1"/>
        <w:rPr>
          <w:rFonts w:hint="eastAsia" w:ascii="黑体" w:hAnsi="黑体" w:eastAsia="黑体" w:cs="仿宋"/>
          <w:color w:val="000000"/>
          <w:kern w:val="0"/>
          <w:sz w:val="32"/>
          <w:szCs w:val="32"/>
        </w:rPr>
      </w:pPr>
      <w:bookmarkStart w:id="17" w:name="_Toc445334855"/>
      <w:bookmarkStart w:id="18" w:name="_Toc26397"/>
      <w:r>
        <w:rPr>
          <w:rFonts w:hint="eastAsia" w:ascii="黑体" w:hAnsi="黑体" w:eastAsia="黑体" w:cs="楷体"/>
          <w:bCs/>
          <w:color w:val="000000"/>
          <w:kern w:val="0"/>
          <w:sz w:val="32"/>
          <w:szCs w:val="32"/>
        </w:rPr>
        <w:t xml:space="preserve">第二节  </w:t>
      </w:r>
      <w:r>
        <w:rPr>
          <w:rFonts w:hint="eastAsia" w:ascii="黑体" w:hAnsi="黑体" w:eastAsia="黑体" w:cs="仿宋"/>
          <w:bCs/>
          <w:color w:val="000000"/>
          <w:kern w:val="0"/>
          <w:sz w:val="32"/>
          <w:szCs w:val="32"/>
        </w:rPr>
        <w:t>强化企业主体责任</w:t>
      </w:r>
      <w:bookmarkEnd w:id="17"/>
      <w:bookmarkEnd w:id="18"/>
      <w:bookmarkStart w:id="19" w:name="_Toc256628660"/>
      <w:bookmarkEnd w:id="19"/>
      <w:bookmarkStart w:id="20" w:name="_Toc258331298"/>
      <w:bookmarkEnd w:id="20"/>
      <w:bookmarkStart w:id="21" w:name="_Toc258331222"/>
      <w:bookmarkEnd w:id="21"/>
      <w:bookmarkStart w:id="22" w:name="_Toc445334856"/>
      <w:bookmarkEnd w:id="22"/>
      <w:bookmarkStart w:id="23" w:name="_Toc258331171"/>
      <w:bookmarkEnd w:id="23"/>
      <w:bookmarkStart w:id="24" w:name="_Toc258331260"/>
      <w:bookmarkEnd w:id="24"/>
      <w:bookmarkStart w:id="25" w:name="_Toc258357228"/>
      <w:bookmarkEnd w:id="25"/>
      <w:bookmarkStart w:id="26" w:name="_Toc425086783"/>
    </w:p>
    <w:p>
      <w:pPr>
        <w:pStyle w:val="15"/>
        <w:pageBreakBefore w:val="0"/>
        <w:widowControl/>
        <w:shd w:val="clear" w:color="auto" w:fill="FFFFFF"/>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widowControl/>
        <w:shd w:val="clear" w:color="auto" w:fill="FFFFFF"/>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监督指导企业严格履行法定责任和义务，建立健全安全生产管理机构，配齐安全生产管理人员，严格按照规定执行员工培训合格上岗制度，保障安全投入，完善安全生产设备设施。推动企业加强基层班组建设，建立岗位安全生产责任清单，明确岗位责任人员、责任范围和考核标准。指导企业加强重大危险源登记建档和监控工作，建立实施安全风险辨识和管理制度，健全隐患排查治理上报制度，依法指导企业开展安全生产标准化建设，提升企业本质安全水平。强化从业人员个人责任，加大对事故企业及其负责人的责任追究，推行事故重大责任人员职业禁入制度。全面推行企业安全生产主体责任承诺。企业在领取营业执照后，就严格遵守相关法律法规，履行安全生产主体责任作出承诺，并向社会公示、接受社会监督。</w:t>
      </w:r>
    </w:p>
    <w:p>
      <w:pPr>
        <w:pStyle w:val="15"/>
        <w:pageBreakBefore w:val="0"/>
        <w:widowControl/>
        <w:shd w:val="clear" w:color="auto" w:fill="FFFFFF"/>
        <w:kinsoku/>
        <w:wordWrap/>
        <w:overflowPunct/>
        <w:bidi w:val="0"/>
        <w:snapToGrid/>
        <w:spacing w:line="560" w:lineRule="exact"/>
        <w:ind w:firstLine="420" w:firstLineChars="200"/>
        <w:textAlignment w:val="auto"/>
        <w:outlineLvl w:val="1"/>
        <w:rPr>
          <w:rFonts w:hint="eastAsia" w:ascii="仿宋" w:hAnsi="仿宋" w:eastAsia="仿宋"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27" w:name="_Toc4366"/>
      <w:bookmarkStart w:id="28" w:name="_Toc18408"/>
      <w:bookmarkStart w:id="29" w:name="_Toc2638"/>
      <w:bookmarkStart w:id="30" w:name="_Toc6576"/>
      <w:bookmarkStart w:id="31" w:name="_Toc609"/>
      <w:bookmarkStart w:id="32" w:name="_Toc7877"/>
      <w:bookmarkStart w:id="33" w:name="_Toc2962"/>
      <w:bookmarkStart w:id="34" w:name="_Toc16107"/>
      <w:bookmarkStart w:id="35" w:name="_Toc19974"/>
      <w:bookmarkStart w:id="36" w:name="_Toc9674"/>
      <w:bookmarkStart w:id="37" w:name="_Toc26503"/>
      <w:bookmarkStart w:id="38" w:name="_Toc5990"/>
      <w:bookmarkStart w:id="39" w:name="_Toc32099"/>
      <w:r>
        <w:rPr>
          <w:rFonts w:hint="eastAsia" w:ascii="黑体" w:hAnsi="黑体" w:eastAsia="黑体" w:cs="仿宋"/>
          <w:b w:val="0"/>
          <w:color w:val="000000"/>
        </w:rPr>
        <w:t>第三节  严格事故查处与责任追究</w:t>
      </w:r>
      <w:bookmarkEnd w:id="27"/>
      <w:bookmarkEnd w:id="28"/>
      <w:bookmarkEnd w:id="29"/>
      <w:bookmarkEnd w:id="30"/>
      <w:bookmarkEnd w:id="31"/>
      <w:bookmarkEnd w:id="32"/>
      <w:bookmarkEnd w:id="33"/>
      <w:bookmarkEnd w:id="34"/>
      <w:bookmarkEnd w:id="35"/>
      <w:bookmarkEnd w:id="36"/>
      <w:bookmarkEnd w:id="37"/>
      <w:bookmarkEnd w:id="38"/>
      <w:bookmarkEnd w:id="39"/>
    </w:p>
    <w:p>
      <w:pPr>
        <w:pStyle w:val="40"/>
        <w:pageBreakBefore w:val="0"/>
        <w:tabs>
          <w:tab w:val="left" w:pos="4830"/>
        </w:tabs>
        <w:kinsoku/>
        <w:wordWrap/>
        <w:overflowPunct/>
        <w:bidi w:val="0"/>
        <w:snapToGrid/>
        <w:spacing w:line="560" w:lineRule="exact"/>
        <w:ind w:firstLine="632"/>
        <w:textAlignment w:val="auto"/>
        <w:rPr>
          <w:rFonts w:hint="eastAsia" w:ascii="仿宋" w:hAnsi="仿宋" w:eastAsia="仿宋" w:cs="仿宋"/>
          <w:color w:val="000000"/>
          <w:sz w:val="32"/>
          <w:szCs w:val="32"/>
        </w:rPr>
      </w:pPr>
    </w:p>
    <w:p>
      <w:pPr>
        <w:pStyle w:val="40"/>
        <w:pageBreakBefore w:val="0"/>
        <w:tabs>
          <w:tab w:val="left" w:pos="4830"/>
        </w:tabs>
        <w:kinsoku/>
        <w:wordWrap/>
        <w:overflowPunct/>
        <w:bidi w:val="0"/>
        <w:snapToGrid/>
        <w:spacing w:line="560" w:lineRule="exact"/>
        <w:ind w:firstLine="632"/>
        <w:textAlignment w:val="auto"/>
        <w:rPr>
          <w:rFonts w:hint="eastAsia" w:ascii="仿宋_GB2312" w:hAnsi="仿宋" w:cs="仿宋"/>
          <w:color w:val="000000"/>
          <w:sz w:val="32"/>
          <w:szCs w:val="32"/>
        </w:rPr>
      </w:pPr>
      <w:r>
        <w:rPr>
          <w:rFonts w:hint="eastAsia" w:ascii="仿宋_GB2312" w:hAnsi="仿宋" w:cs="仿宋"/>
          <w:color w:val="000000"/>
          <w:sz w:val="32"/>
          <w:szCs w:val="32"/>
        </w:rPr>
        <w:t>加强事故调查处理工作，认真调查分析原因、总结规律、有针对性地提出整改措施。进一步规范生产安全事故调查处理组织分工、工作程序、进度安排和质量要求，强化安全监管部门与纪检监察、检察、公安及相关行业主管部门的沟通配合，认真执行重大非法违法行为备案督办制度、严重违法企业“黑名单制度”、典型案例公开审判制度和“一案双查”制度，严格遵循事故调查处理“四不放过”原则，着力提高事故查处刚性效应。加强对事故整改措施和事故责任追究落实情况的检查，确保事故调查报告提出的整改措施落实到位、事故责任追究到位，确保</w:t>
      </w:r>
      <w:r>
        <w:rPr>
          <w:rFonts w:hint="eastAsia" w:ascii="仿宋_GB2312" w:hAnsi="仿宋" w:cs="仿宋"/>
          <w:color w:val="000000"/>
          <w:sz w:val="32"/>
          <w:szCs w:val="32"/>
          <w:highlight w:val="none"/>
        </w:rPr>
        <w:t>真查真究</w:t>
      </w:r>
      <w:r>
        <w:rPr>
          <w:rFonts w:hint="eastAsia" w:ascii="仿宋_GB2312" w:hAnsi="仿宋" w:cs="仿宋"/>
          <w:color w:val="000000"/>
          <w:sz w:val="32"/>
          <w:szCs w:val="32"/>
        </w:rPr>
        <w:t>、公开公正。严格落实事故调查结果公开制度，依法向社会公布事故调查情况和处理结果，接受社会监督。</w:t>
      </w:r>
    </w:p>
    <w:p>
      <w:pPr>
        <w:pStyle w:val="40"/>
        <w:pageBreakBefore w:val="0"/>
        <w:kinsoku/>
        <w:wordWrap/>
        <w:overflowPunct/>
        <w:bidi w:val="0"/>
        <w:snapToGrid/>
        <w:spacing w:line="560" w:lineRule="exact"/>
        <w:ind w:firstLine="0" w:firstLineChars="0"/>
        <w:textAlignment w:val="auto"/>
        <w:rPr>
          <w:rFonts w:hint="eastAsia" w:ascii="黑体" w:hAnsi="黑体" w:eastAsia="黑体" w:cs="黑体"/>
          <w:color w:val="000000"/>
          <w:sz w:val="32"/>
          <w:szCs w:val="32"/>
        </w:rPr>
      </w:pPr>
    </w:p>
    <w:p>
      <w:pPr>
        <w:pStyle w:val="22"/>
        <w:pageBreakBefore w:val="0"/>
        <w:kinsoku/>
        <w:wordWrap/>
        <w:overflowPunct/>
        <w:bidi w:val="0"/>
        <w:snapToGrid/>
        <w:spacing w:before="0" w:beforeLines="0" w:after="0" w:afterLines="0" w:line="560" w:lineRule="exact"/>
        <w:ind w:left="0" w:firstLine="0"/>
        <w:textAlignment w:val="auto"/>
        <w:rPr>
          <w:rFonts w:hint="eastAsia" w:ascii="方正小标宋_GBK" w:hAnsi="黑体" w:eastAsia="方正小标宋_GBK"/>
          <w:color w:val="000000"/>
          <w:sz w:val="44"/>
        </w:rPr>
      </w:pPr>
      <w:bookmarkStart w:id="40" w:name="_Toc23044"/>
      <w:bookmarkStart w:id="41" w:name="_Toc6998"/>
      <w:bookmarkStart w:id="42" w:name="_Toc18970"/>
      <w:bookmarkStart w:id="43" w:name="_Toc8547"/>
      <w:bookmarkStart w:id="44" w:name="_Toc25309"/>
      <w:bookmarkStart w:id="45" w:name="_Toc12860"/>
      <w:bookmarkStart w:id="46" w:name="_Toc2713"/>
      <w:bookmarkStart w:id="47" w:name="_Toc31981"/>
      <w:bookmarkStart w:id="48" w:name="_Toc13477"/>
      <w:bookmarkStart w:id="49" w:name="_Toc23288"/>
      <w:bookmarkStart w:id="50" w:name="_Toc30961"/>
      <w:bookmarkStart w:id="51" w:name="_Toc25071"/>
      <w:bookmarkStart w:id="52" w:name="_Toc19817"/>
      <w:bookmarkStart w:id="53" w:name="_Toc25761"/>
      <w:bookmarkStart w:id="54" w:name="_Toc11457"/>
      <w:bookmarkStart w:id="55" w:name="_Toc31265"/>
      <w:bookmarkStart w:id="56" w:name="_Toc5536"/>
      <w:bookmarkStart w:id="57" w:name="_Toc6444"/>
      <w:bookmarkStart w:id="58" w:name="_Toc2425"/>
      <w:bookmarkStart w:id="59" w:name="_Toc24760"/>
      <w:bookmarkStart w:id="60" w:name="_Toc16019"/>
      <w:bookmarkStart w:id="61" w:name="_Toc22456"/>
      <w:bookmarkStart w:id="62" w:name="_Toc5528"/>
      <w:bookmarkStart w:id="63" w:name="_Toc446247690"/>
      <w:bookmarkStart w:id="64" w:name="_Toc7985"/>
      <w:bookmarkStart w:id="65" w:name="_Toc23889"/>
      <w:bookmarkStart w:id="66" w:name="_Toc5471"/>
      <w:r>
        <w:rPr>
          <w:rFonts w:hint="eastAsia" w:ascii="方正小标宋_GBK" w:hAnsi="黑体" w:eastAsia="方正小标宋_GBK"/>
          <w:color w:val="000000"/>
          <w:sz w:val="44"/>
        </w:rPr>
        <w:t>第四章  提升区域安全生产总体水平</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bookmarkEnd w:id="57"/>
      <w:bookmarkEnd w:id="58"/>
      <w:bookmarkEnd w:id="59"/>
      <w:bookmarkEnd w:id="60"/>
      <w:bookmarkEnd w:id="61"/>
      <w:bookmarkEnd w:id="62"/>
      <w:bookmarkEnd w:id="63"/>
      <w:bookmarkEnd w:id="64"/>
      <w:bookmarkEnd w:id="65"/>
      <w:bookmarkEnd w:id="66"/>
    </w:p>
    <w:p>
      <w:pPr>
        <w:pStyle w:val="10"/>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bookmarkStart w:id="67" w:name="_Toc26924"/>
      <w:bookmarkStart w:id="68" w:name="_Toc5147"/>
      <w:bookmarkStart w:id="69" w:name="_Toc20134"/>
      <w:bookmarkStart w:id="70" w:name="_Toc24956"/>
      <w:bookmarkStart w:id="71" w:name="_Toc27202"/>
      <w:bookmarkStart w:id="72" w:name="_Toc6389"/>
      <w:bookmarkStart w:id="73" w:name="_Toc15931"/>
      <w:bookmarkStart w:id="74" w:name="_Toc21015"/>
      <w:bookmarkStart w:id="75" w:name="_Toc14861"/>
    </w:p>
    <w:p>
      <w:pPr>
        <w:pStyle w:val="10"/>
        <w:pageBreakBefore w:val="0"/>
        <w:kinsoku/>
        <w:wordWrap/>
        <w:overflowPunct/>
        <w:bidi w:val="0"/>
        <w:snapToGrid/>
        <w:spacing w:line="560" w:lineRule="exact"/>
        <w:ind w:firstLine="640" w:firstLineChars="200"/>
        <w:textAlignment w:val="auto"/>
        <w:rPr>
          <w:rFonts w:hint="eastAsia" w:ascii="仿宋_GB2312" w:hAnsi="仿宋" w:cs="仿宋"/>
          <w:color w:val="000000"/>
        </w:rPr>
      </w:pPr>
      <w:r>
        <w:rPr>
          <w:rFonts w:hint="eastAsia" w:ascii="仿宋_GB2312" w:hAnsi="仿宋" w:cs="仿宋"/>
          <w:color w:val="000000"/>
        </w:rPr>
        <w:t>严格按照习近平总书记提出的“加强城市安全运行管理，增强安全风险意识，加强源头治理”的要求，高度关注城市快速发展带来的安全风险和隐患，不断增强危机意识、忧患意识和责任意识，把安全运行管理工作落实到城市发展的各个领域、各个环节，切实提高我</w:t>
      </w:r>
      <w:r>
        <w:rPr>
          <w:rFonts w:hint="eastAsia" w:ascii="仿宋_GB2312" w:hAnsi="仿宋" w:cs="仿宋"/>
          <w:color w:val="000000"/>
          <w:lang w:val="en-US" w:eastAsia="zh-CN"/>
        </w:rPr>
        <w:t>区</w:t>
      </w:r>
      <w:r>
        <w:rPr>
          <w:rFonts w:hint="eastAsia" w:ascii="仿宋_GB2312" w:hAnsi="仿宋" w:cs="仿宋"/>
          <w:color w:val="000000"/>
        </w:rPr>
        <w:t>城市安全运行管理能力和水平。加强镇（</w:t>
      </w:r>
      <w:r>
        <w:rPr>
          <w:rFonts w:hint="eastAsia" w:ascii="仿宋_GB2312" w:hAnsi="仿宋" w:cs="仿宋"/>
          <w:color w:val="000000"/>
          <w:lang w:val="en-US" w:eastAsia="zh-CN"/>
        </w:rPr>
        <w:t>街</w:t>
      </w:r>
      <w:r>
        <w:rPr>
          <w:rFonts w:hint="eastAsia" w:ascii="仿宋_GB2312" w:hAnsi="仿宋" w:cs="仿宋"/>
          <w:color w:val="000000"/>
        </w:rPr>
        <w:t>）、村（居）基层地区（社区）安全基础建设。</w:t>
      </w:r>
    </w:p>
    <w:p>
      <w:pPr>
        <w:pStyle w:val="10"/>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p>
    <w:p>
      <w:pPr>
        <w:pStyle w:val="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76" w:name="_Toc12009"/>
      <w:bookmarkStart w:id="77" w:name="_Toc10593"/>
      <w:bookmarkStart w:id="78" w:name="_Toc16054"/>
      <w:bookmarkStart w:id="79" w:name="_Toc4029"/>
      <w:r>
        <w:rPr>
          <w:rFonts w:hint="eastAsia" w:ascii="黑体" w:hAnsi="黑体" w:eastAsia="黑体" w:cs="仿宋"/>
          <w:b w:val="0"/>
          <w:color w:val="000000"/>
        </w:rPr>
        <w:t>第一节  统筹城市安全保障建设</w:t>
      </w:r>
      <w:bookmarkEnd w:id="67"/>
      <w:bookmarkEnd w:id="68"/>
      <w:bookmarkEnd w:id="69"/>
      <w:bookmarkEnd w:id="70"/>
      <w:bookmarkEnd w:id="71"/>
      <w:bookmarkEnd w:id="72"/>
      <w:bookmarkEnd w:id="73"/>
      <w:bookmarkEnd w:id="74"/>
      <w:bookmarkEnd w:id="75"/>
      <w:bookmarkEnd w:id="76"/>
      <w:bookmarkEnd w:id="77"/>
      <w:bookmarkEnd w:id="78"/>
      <w:bookmarkEnd w:id="79"/>
    </w:p>
    <w:p>
      <w:pPr>
        <w:pStyle w:val="10"/>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10"/>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合理规划城市功能分区，加强规划编制中对规划区域的安全风险研究，</w:t>
      </w:r>
      <w:r>
        <w:rPr>
          <w:rFonts w:hint="eastAsia" w:ascii="仿宋_GB2312" w:hAnsi="仿宋" w:cs="仿宋"/>
          <w:color w:val="000000"/>
          <w:szCs w:val="32"/>
          <w:u w:val="none"/>
        </w:rPr>
        <w:t>建立安全风险评估与论证机制。加强重大规划、重点项目特别是区域、产业、城市、园区等规划建设风险评估与论证。强化危险性项目规划审批管理，对一些安全风险较大的项目严格选址标准，把重大风险隐患当成事故来对待，从源头上防范城市规划建设的系统性风险。完善城市安全基础设施规划布局，同步建设城市新区和产业集聚区、科技示范园、工业园区、</w:t>
      </w:r>
      <w:r>
        <w:rPr>
          <w:rFonts w:hint="eastAsia" w:ascii="仿宋_GB2312" w:hAnsi="仿宋" w:cs="仿宋"/>
          <w:color w:val="000000" w:themeColor="text1"/>
          <w:szCs w:val="32"/>
          <w:u w:val="none"/>
          <w14:textFill>
            <w14:solidFill>
              <w14:schemeClr w14:val="tx1"/>
            </w14:solidFill>
          </w14:textFill>
        </w:rPr>
        <w:t>港区</w:t>
      </w:r>
      <w:r>
        <w:rPr>
          <w:rFonts w:hint="eastAsia" w:ascii="仿宋_GB2312" w:hAnsi="仿宋" w:cs="仿宋"/>
          <w:color w:val="000000"/>
          <w:szCs w:val="32"/>
          <w:u w:val="none"/>
        </w:rPr>
        <w:t>等功能区的公共安全设施。</w:t>
      </w:r>
      <w:r>
        <w:rPr>
          <w:rFonts w:hint="eastAsia" w:ascii="仿宋_GB2312" w:hAnsi="仿宋" w:cs="仿宋"/>
          <w:color w:val="000000"/>
          <w:szCs w:val="32"/>
        </w:rPr>
        <w:t>统筹规划区域水、电、气、热、照明、通讯设施和信息网络等地上地下基础设施，建立供水、供电、供气、通信等地下管网信息共享和安全监管机制，落实安全保障条件。加强对城市隐蔽性设施、地上地下管廊、生活垃圾填埋场、建筑余泥渣土受纳场等建设运营安全管理。</w:t>
      </w:r>
    </w:p>
    <w:p>
      <w:pPr>
        <w:pStyle w:val="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80" w:name="_Toc8591"/>
      <w:bookmarkStart w:id="81" w:name="_Toc12975"/>
      <w:bookmarkStart w:id="82" w:name="_Toc24787"/>
      <w:bookmarkStart w:id="83" w:name="_Toc25261"/>
      <w:bookmarkStart w:id="84" w:name="_Toc30354"/>
      <w:bookmarkStart w:id="85" w:name="_Toc10329"/>
      <w:bookmarkStart w:id="86" w:name="_Toc31269"/>
      <w:bookmarkStart w:id="87" w:name="_Toc24553"/>
      <w:bookmarkStart w:id="88" w:name="_Toc29468"/>
      <w:bookmarkStart w:id="89" w:name="_Toc9882"/>
      <w:bookmarkStart w:id="90" w:name="_Toc20604"/>
      <w:bookmarkStart w:id="91" w:name="_Toc24514"/>
      <w:bookmarkStart w:id="92" w:name="_Toc1248"/>
    </w:p>
    <w:p>
      <w:pPr>
        <w:pStyle w:val="9"/>
        <w:pageBreakBefore w:val="0"/>
        <w:kinsoku/>
        <w:wordWrap/>
        <w:overflowPunct/>
        <w:bidi w:val="0"/>
        <w:snapToGrid/>
        <w:spacing w:line="560" w:lineRule="exact"/>
        <w:jc w:val="center"/>
        <w:textAlignment w:val="auto"/>
        <w:rPr>
          <w:rFonts w:hint="eastAsia" w:ascii="仿宋" w:hAnsi="仿宋" w:eastAsia="仿宋" w:cs="仿宋"/>
          <w:color w:val="000000"/>
          <w:szCs w:val="32"/>
        </w:rPr>
      </w:pPr>
      <w:r>
        <w:rPr>
          <w:rFonts w:hint="eastAsia" w:ascii="黑体" w:hAnsi="黑体" w:eastAsia="黑体" w:cs="仿宋"/>
          <w:b w:val="0"/>
          <w:color w:val="000000"/>
        </w:rPr>
        <w:t>第二节  推动基层安全基础建设</w:t>
      </w:r>
      <w:bookmarkEnd w:id="80"/>
      <w:bookmarkEnd w:id="81"/>
      <w:bookmarkEnd w:id="82"/>
      <w:bookmarkEnd w:id="83"/>
      <w:bookmarkEnd w:id="84"/>
      <w:bookmarkEnd w:id="85"/>
      <w:bookmarkEnd w:id="86"/>
      <w:bookmarkEnd w:id="87"/>
      <w:bookmarkEnd w:id="88"/>
      <w:bookmarkEnd w:id="89"/>
      <w:bookmarkEnd w:id="90"/>
      <w:bookmarkEnd w:id="91"/>
      <w:bookmarkEnd w:id="92"/>
    </w:p>
    <w:p>
      <w:pPr>
        <w:pStyle w:val="10"/>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坚持将安全发展作为村镇建设发展的基本内容，统筹规划村镇公共安全基础设施。建立与新型城镇化和城市社区建设相适应的基层安全管理机制。发挥物业公司和业主委员会的作用，将楼院公用设施安全检查、重点时段安全提示、居民家庭安全教育纳入物业管理服务范围。推动城镇安全社区、企业主导型安全社区、新农村安全社区建设。</w:t>
      </w:r>
    </w:p>
    <w:p>
      <w:pPr>
        <w:pStyle w:val="10"/>
        <w:pageBreakBefore w:val="0"/>
        <w:kinsoku/>
        <w:wordWrap/>
        <w:overflowPunct/>
        <w:bidi w:val="0"/>
        <w:snapToGrid/>
        <w:spacing w:line="560" w:lineRule="exact"/>
        <w:textAlignment w:val="auto"/>
        <w:rPr>
          <w:rFonts w:hint="eastAsia" w:ascii="仿宋" w:hAnsi="仿宋" w:eastAsia="仿宋" w:cs="仿宋"/>
          <w:color w:val="000000"/>
          <w:szCs w:val="32"/>
        </w:rPr>
      </w:pPr>
    </w:p>
    <w:p>
      <w:pPr>
        <w:pStyle w:val="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93" w:name="_Toc1744"/>
      <w:bookmarkStart w:id="94" w:name="_Toc23544"/>
      <w:bookmarkStart w:id="95" w:name="_Toc19891"/>
      <w:bookmarkStart w:id="96" w:name="_Toc1958"/>
      <w:bookmarkStart w:id="97" w:name="_Toc7889"/>
      <w:bookmarkStart w:id="98" w:name="_Toc8731"/>
      <w:bookmarkStart w:id="99" w:name="_Toc26681"/>
      <w:bookmarkStart w:id="100" w:name="_Toc22382"/>
      <w:bookmarkStart w:id="101" w:name="_Toc23670"/>
      <w:bookmarkStart w:id="102" w:name="_Toc15033"/>
      <w:bookmarkStart w:id="103" w:name="_Toc14721"/>
      <w:bookmarkStart w:id="104" w:name="_Toc13124"/>
      <w:bookmarkStart w:id="105" w:name="_Toc18650"/>
      <w:r>
        <w:rPr>
          <w:rFonts w:hint="eastAsia" w:ascii="黑体" w:hAnsi="黑体" w:eastAsia="黑体" w:cs="仿宋"/>
          <w:b w:val="0"/>
          <w:color w:val="000000"/>
        </w:rPr>
        <w:t>第三节  化解地区总体安全风险</w:t>
      </w:r>
      <w:bookmarkEnd w:id="93"/>
      <w:bookmarkEnd w:id="94"/>
      <w:bookmarkEnd w:id="95"/>
      <w:bookmarkEnd w:id="96"/>
      <w:bookmarkEnd w:id="97"/>
      <w:bookmarkEnd w:id="98"/>
      <w:bookmarkEnd w:id="99"/>
      <w:bookmarkEnd w:id="100"/>
      <w:bookmarkEnd w:id="101"/>
      <w:bookmarkEnd w:id="102"/>
      <w:bookmarkEnd w:id="103"/>
      <w:bookmarkEnd w:id="104"/>
      <w:bookmarkEnd w:id="105"/>
    </w:p>
    <w:p>
      <w:pPr>
        <w:pStyle w:val="10"/>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10"/>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坚持将安全发展作为地区经济转型发展的原则和内容，依托产业调整升级逐步降低地区产业安全风险。优化危险性产业生产布局，引导区域危险性产业和生产要素向园区集中，形成一体化、规模化、集约化的园区安全发展模式。实行严格的安全生产准入制度，加强安全生产基础建设，实施安全生产技术改造，消除安全</w:t>
      </w:r>
      <w:r>
        <w:rPr>
          <w:rFonts w:hint="eastAsia" w:ascii="仿宋_GB2312" w:hAnsi="仿宋" w:cs="仿宋"/>
          <w:color w:val="000000"/>
          <w:szCs w:val="32"/>
          <w:lang w:eastAsia="zh-CN"/>
        </w:rPr>
        <w:t>欠账</w:t>
      </w:r>
      <w:r>
        <w:rPr>
          <w:rFonts w:hint="eastAsia" w:ascii="仿宋_GB2312" w:hAnsi="仿宋" w:cs="仿宋"/>
          <w:color w:val="000000"/>
          <w:szCs w:val="32"/>
        </w:rPr>
        <w:t>。</w:t>
      </w:r>
    </w:p>
    <w:p>
      <w:pPr>
        <w:pStyle w:val="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106" w:name="_Toc19024"/>
      <w:bookmarkStart w:id="107" w:name="_Toc2053"/>
      <w:bookmarkStart w:id="108" w:name="_Toc15983"/>
      <w:bookmarkStart w:id="109" w:name="_Toc20338"/>
      <w:bookmarkStart w:id="110" w:name="_Toc24817"/>
      <w:bookmarkStart w:id="111" w:name="_Toc11006"/>
      <w:bookmarkStart w:id="112" w:name="_Toc13341"/>
      <w:bookmarkStart w:id="113" w:name="_Toc28404"/>
      <w:bookmarkStart w:id="114" w:name="_Toc23370"/>
      <w:bookmarkStart w:id="115" w:name="_Toc30690"/>
      <w:bookmarkStart w:id="116" w:name="_Toc15378"/>
      <w:bookmarkStart w:id="117" w:name="_Toc32562"/>
      <w:bookmarkStart w:id="118" w:name="_Toc32395"/>
    </w:p>
    <w:p>
      <w:pPr>
        <w:pStyle w:val="9"/>
        <w:pageBreakBefore w:val="0"/>
        <w:kinsoku/>
        <w:wordWrap/>
        <w:overflowPunct/>
        <w:bidi w:val="0"/>
        <w:snapToGrid/>
        <w:spacing w:line="560" w:lineRule="exact"/>
        <w:jc w:val="center"/>
        <w:textAlignment w:val="auto"/>
        <w:rPr>
          <w:rFonts w:hint="eastAsia" w:ascii="黑体" w:hAnsi="黑体" w:eastAsia="黑体" w:cs="仿宋"/>
          <w:b w:val="0"/>
          <w:color w:val="000000"/>
        </w:rPr>
      </w:pPr>
      <w:r>
        <w:rPr>
          <w:rFonts w:hint="eastAsia" w:ascii="黑体" w:hAnsi="黑体" w:eastAsia="黑体" w:cs="仿宋"/>
          <w:b w:val="0"/>
          <w:color w:val="000000"/>
        </w:rPr>
        <w:t>第四节  构建区域安全风险防控预警体系</w:t>
      </w:r>
      <w:bookmarkEnd w:id="106"/>
      <w:bookmarkEnd w:id="107"/>
      <w:bookmarkEnd w:id="108"/>
      <w:bookmarkEnd w:id="109"/>
      <w:bookmarkEnd w:id="110"/>
      <w:bookmarkEnd w:id="111"/>
      <w:bookmarkEnd w:id="112"/>
      <w:bookmarkEnd w:id="113"/>
      <w:bookmarkEnd w:id="114"/>
      <w:bookmarkEnd w:id="115"/>
      <w:bookmarkEnd w:id="116"/>
      <w:bookmarkEnd w:id="117"/>
      <w:bookmarkEnd w:id="118"/>
    </w:p>
    <w:p>
      <w:pPr>
        <w:pStyle w:val="10"/>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10"/>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构建安全风险管控和隐患排查双重预防机制。推动高危行业建设涵盖生产周期的生产安全数据采集上报系统，形成企业安全基础资源数据库。加强区域安全风险点排查整治，2016年底前，在全</w:t>
      </w:r>
      <w:r>
        <w:rPr>
          <w:rFonts w:hint="eastAsia" w:ascii="仿宋_GB2312" w:hAnsi="仿宋" w:cs="仿宋"/>
          <w:color w:val="000000"/>
          <w:szCs w:val="32"/>
          <w:lang w:val="en-US" w:eastAsia="zh-CN"/>
        </w:rPr>
        <w:t>区</w:t>
      </w:r>
      <w:r>
        <w:rPr>
          <w:rFonts w:hint="eastAsia" w:ascii="仿宋_GB2312" w:hAnsi="仿宋" w:cs="仿宋"/>
          <w:color w:val="000000"/>
          <w:szCs w:val="32"/>
        </w:rPr>
        <w:t>集中开展城市风险点危险源排查整治专项行动。逐步建立依托电子地图标示的安全风险点“一张图”。推动建立区域性安全风险点的大数据平台、信息资源共享机制和风险预防预警体系，探索构建覆盖城市生产、生活、运营等各方面，贯穿城市建设、运行、发展等各环节的城市运行安全风险防控网络。实行风险点分级管控，加快制定风险分级标准，按照安全风险“红、橙、黄、蓝”4个等级划分要求，科学认定每一个城市风险点、危险源的风险等级。强化对城市风险点、危险源专项治理，重点加强对城市高层建筑、大型综合体、隧道桥梁、油气输送管道、轨道交通、电网、电梯、游乐设施等的定期检查维护。加强城市安全风险评估与安全风险差异化动态监管，加强城市、高危产业聚集区、易发多发事故行业领域、重点时间节点、关键薄弱环节、季节性动向性的安全风险预警和管控。建立健全隐患排查治理体系，全面排查治理区域内事故隐患，对重大隐患实施分级挂牌督办、跟踪监管。实现隐患排查、登记、评估、报告、监控、治理、核销全过程记录及闭环管理。</w:t>
      </w:r>
      <w:bookmarkStart w:id="243" w:name="_GoBack"/>
      <w:bookmarkEnd w:id="243"/>
    </w:p>
    <w:p>
      <w:pPr>
        <w:pStyle w:val="40"/>
        <w:pageBreakBefore w:val="0"/>
        <w:kinsoku/>
        <w:wordWrap/>
        <w:overflowPunct/>
        <w:bidi w:val="0"/>
        <w:snapToGrid/>
        <w:spacing w:line="560" w:lineRule="exact"/>
        <w:ind w:firstLine="0" w:firstLineChars="0"/>
        <w:textAlignment w:val="auto"/>
        <w:rPr>
          <w:rFonts w:hint="eastAsia" w:ascii="黑体" w:hAnsi="黑体" w:eastAsia="黑体" w:cs="黑体"/>
          <w:color w:val="000000"/>
          <w:sz w:val="32"/>
          <w:szCs w:val="32"/>
        </w:rPr>
      </w:pPr>
    </w:p>
    <w:p>
      <w:pPr>
        <w:pStyle w:val="40"/>
        <w:pageBreakBefore w:val="0"/>
        <w:kinsoku/>
        <w:wordWrap/>
        <w:overflowPunct/>
        <w:bidi w:val="0"/>
        <w:snapToGrid/>
        <w:spacing w:line="560" w:lineRule="exact"/>
        <w:ind w:firstLine="0" w:firstLineChars="0"/>
        <w:jc w:val="center"/>
        <w:textAlignment w:val="auto"/>
        <w:outlineLvl w:val="0"/>
        <w:rPr>
          <w:rFonts w:hint="eastAsia" w:ascii="方正小标宋_GBK" w:hAnsi="黑体" w:eastAsia="方正小标宋_GBK" w:cs="黑体"/>
          <w:color w:val="000000"/>
          <w:sz w:val="44"/>
          <w:szCs w:val="44"/>
        </w:rPr>
      </w:pPr>
      <w:bookmarkStart w:id="119" w:name="_Toc6250"/>
      <w:r>
        <w:rPr>
          <w:rFonts w:hint="eastAsia" w:ascii="方正小标宋_GBK" w:hAnsi="黑体" w:eastAsia="方正小标宋_GBK" w:cs="黑体"/>
          <w:color w:val="000000"/>
          <w:sz w:val="44"/>
          <w:szCs w:val="44"/>
        </w:rPr>
        <w:t>第五章  强化重点领域安全综合治理</w:t>
      </w:r>
      <w:bookmarkEnd w:id="119"/>
      <w:r>
        <w:rPr>
          <w:rFonts w:hint="eastAsia" w:ascii="方正小标宋_GBK" w:hAnsi="黑体" w:eastAsia="方正小标宋_GBK" w:cs="黑体"/>
          <w:color w:val="000000"/>
          <w:sz w:val="44"/>
          <w:szCs w:val="44"/>
        </w:rPr>
        <w:t xml:space="preserve"> </w:t>
      </w:r>
    </w:p>
    <w:p>
      <w:pPr>
        <w:pStyle w:val="40"/>
        <w:pageBreakBefore w:val="0"/>
        <w:kinsoku/>
        <w:wordWrap/>
        <w:overflowPunct/>
        <w:bidi w:val="0"/>
        <w:snapToGrid/>
        <w:spacing w:line="560" w:lineRule="exact"/>
        <w:ind w:firstLine="0" w:firstLineChars="0"/>
        <w:jc w:val="left"/>
        <w:textAlignment w:val="auto"/>
        <w:rPr>
          <w:rFonts w:hint="eastAsia" w:ascii="仿宋" w:hAnsi="仿宋" w:eastAsia="仿宋" w:cs="仿宋"/>
          <w:color w:val="000000"/>
          <w:sz w:val="32"/>
        </w:rPr>
      </w:pPr>
    </w:p>
    <w:p>
      <w:pPr>
        <w:pStyle w:val="40"/>
        <w:pageBreakBefore w:val="0"/>
        <w:kinsoku/>
        <w:wordWrap/>
        <w:overflowPunct/>
        <w:bidi w:val="0"/>
        <w:snapToGrid/>
        <w:spacing w:line="560" w:lineRule="exact"/>
        <w:ind w:firstLine="632"/>
        <w:jc w:val="left"/>
        <w:textAlignment w:val="auto"/>
        <w:rPr>
          <w:rFonts w:hint="eastAsia" w:ascii="仿宋_GB2312" w:hAnsi="仿宋" w:cs="仿宋"/>
          <w:color w:val="000000"/>
          <w:sz w:val="32"/>
        </w:rPr>
      </w:pPr>
      <w:r>
        <w:rPr>
          <w:rFonts w:hint="eastAsia" w:ascii="仿宋_GB2312" w:hAnsi="仿宋" w:cs="仿宋"/>
          <w:color w:val="000000"/>
          <w:sz w:val="32"/>
        </w:rPr>
        <w:t>立足治大隐患、防大事故，继续深化交通运输、危险化学品、建筑施工、消防、油气管道、非煤矿山等重点行业领域安全生产专项整治，全面排查治理各类事故隐患。</w:t>
      </w:r>
    </w:p>
    <w:p>
      <w:pPr>
        <w:pStyle w:val="40"/>
        <w:pageBreakBefore w:val="0"/>
        <w:kinsoku/>
        <w:wordWrap/>
        <w:overflowPunct/>
        <w:bidi w:val="0"/>
        <w:snapToGrid/>
        <w:spacing w:line="560" w:lineRule="exact"/>
        <w:ind w:firstLine="0" w:firstLineChars="0"/>
        <w:jc w:val="left"/>
        <w:textAlignment w:val="auto"/>
        <w:rPr>
          <w:rFonts w:hint="eastAsia" w:ascii="仿宋" w:hAnsi="仿宋" w:eastAsia="仿宋" w:cs="仿宋"/>
          <w:color w:val="000000"/>
        </w:rPr>
      </w:pPr>
    </w:p>
    <w:bookmarkEnd w:id="26"/>
    <w:p>
      <w:pPr>
        <w:pStyle w:val="15"/>
        <w:pageBreakBefore w:val="0"/>
        <w:numPr>
          <w:ilvl w:val="0"/>
          <w:numId w:val="5"/>
        </w:numPr>
        <w:kinsoku/>
        <w:wordWrap/>
        <w:overflowPunct/>
        <w:bidi w:val="0"/>
        <w:snapToGrid/>
        <w:spacing w:line="560" w:lineRule="exact"/>
        <w:jc w:val="center"/>
        <w:textAlignment w:val="auto"/>
        <w:outlineLvl w:val="1"/>
        <w:rPr>
          <w:rFonts w:hint="eastAsia" w:ascii="黑体" w:hAnsi="黑体" w:eastAsia="黑体" w:cs="仿宋"/>
          <w:bCs/>
          <w:color w:val="000000"/>
          <w:sz w:val="32"/>
          <w:szCs w:val="32"/>
        </w:rPr>
      </w:pPr>
      <w:r>
        <w:rPr>
          <w:rFonts w:hint="eastAsia" w:ascii="黑体" w:hAnsi="黑体" w:eastAsia="黑体" w:cs="仿宋"/>
          <w:bCs/>
          <w:color w:val="000000"/>
          <w:sz w:val="32"/>
          <w:szCs w:val="32"/>
        </w:rPr>
        <w:t xml:space="preserve"> </w:t>
      </w:r>
      <w:bookmarkStart w:id="120" w:name="_Toc7132"/>
      <w:r>
        <w:rPr>
          <w:rFonts w:hint="eastAsia" w:ascii="黑体" w:hAnsi="黑体" w:eastAsia="黑体" w:cs="仿宋"/>
          <w:bCs/>
          <w:color w:val="000000"/>
          <w:sz w:val="32"/>
          <w:szCs w:val="32"/>
        </w:rPr>
        <w:t xml:space="preserve"> 强化交通安全监管</w:t>
      </w:r>
      <w:bookmarkEnd w:id="120"/>
    </w:p>
    <w:p>
      <w:pPr>
        <w:pStyle w:val="15"/>
        <w:pageBreakBefore w:val="0"/>
        <w:kinsoku/>
        <w:wordWrap/>
        <w:overflowPunct/>
        <w:bidi w:val="0"/>
        <w:snapToGrid/>
        <w:spacing w:line="560" w:lineRule="exact"/>
        <w:ind w:firstLine="643" w:firstLineChars="200"/>
        <w:textAlignment w:val="auto"/>
        <w:rPr>
          <w:rFonts w:hint="eastAsia" w:ascii="仿宋" w:hAnsi="仿宋" w:eastAsia="仿宋" w:cs="仿宋"/>
          <w:b/>
          <w:bCs/>
          <w:color w:val="000000"/>
          <w:sz w:val="32"/>
          <w:szCs w:val="32"/>
        </w:rPr>
      </w:pP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道路交通安全。</w:t>
      </w:r>
      <w:r>
        <w:rPr>
          <w:rFonts w:hint="eastAsia" w:ascii="仿宋_GB2312" w:hAnsi="仿宋" w:eastAsia="仿宋_GB2312" w:cs="仿宋"/>
          <w:color w:val="000000"/>
          <w:sz w:val="32"/>
          <w:szCs w:val="32"/>
          <w:u w:val="none"/>
        </w:rPr>
        <w:t>加强城乡道路交通安全管理机制、资金投入、保障措施和支撑体系建设。建立完善“主体</w:t>
      </w:r>
      <w:r>
        <w:rPr>
          <w:rFonts w:hint="eastAsia" w:ascii="仿宋_GB2312" w:hAnsi="仿宋" w:eastAsia="仿宋_GB2312" w:cs="仿宋"/>
          <w:color w:val="000000"/>
          <w:sz w:val="32"/>
          <w:szCs w:val="32"/>
          <w:highlight w:val="none"/>
          <w:u w:val="none"/>
        </w:rPr>
        <w:t>在</w:t>
      </w:r>
      <w:r>
        <w:rPr>
          <w:rFonts w:hint="eastAsia" w:ascii="仿宋_GB2312" w:hAnsi="仿宋" w:eastAsia="仿宋_GB2312" w:cs="仿宋"/>
          <w:color w:val="000000"/>
          <w:sz w:val="32"/>
          <w:szCs w:val="32"/>
          <w:highlight w:val="none"/>
          <w:u w:val="none"/>
          <w:lang w:eastAsia="zh-CN"/>
        </w:rPr>
        <w:t>区</w:t>
      </w:r>
      <w:r>
        <w:rPr>
          <w:rFonts w:hint="eastAsia" w:ascii="仿宋_GB2312" w:hAnsi="仿宋" w:eastAsia="仿宋_GB2312" w:cs="仿宋"/>
          <w:color w:val="000000"/>
          <w:sz w:val="32"/>
          <w:szCs w:val="32"/>
          <w:u w:val="none"/>
        </w:rPr>
        <w:t>、管理在镇、延伸到村”的农村交通安全管理体制，推动镇一级交管站、村一级交通安全劝导站和镇的交通安全员、行政村的交通安全协管员的覆盖率和配备率达到100%。建立道路运输企业的交通安全诚信监管机制和退出机制。</w:t>
      </w:r>
      <w:r>
        <w:rPr>
          <w:rFonts w:hint="eastAsia" w:ascii="仿宋_GB2312" w:hAnsi="仿宋" w:eastAsia="仿宋_GB2312" w:cs="仿宋"/>
          <w:color w:val="000000"/>
          <w:sz w:val="32"/>
          <w:szCs w:val="32"/>
        </w:rPr>
        <w:t>加强运输企业车辆和驾驶人员的动态监管，健全危险货物运输安全监管体系。开展道路运输企业安全生产评估，评定道路运输企业安全生产达标等级。完善运输车辆安全配置标准。加强机动车安全技术检验机构监管。建立重点规划建设项目的交通安全影响评价制度，推行道路建设的交通安全审查制度，深入</w:t>
      </w:r>
      <w:r>
        <w:rPr>
          <w:rFonts w:hint="eastAsia" w:ascii="仿宋_GB2312" w:hAnsi="仿宋" w:eastAsia="仿宋_GB2312" w:cs="仿宋"/>
          <w:color w:val="000000"/>
          <w:spacing w:val="-6"/>
          <w:sz w:val="32"/>
          <w:szCs w:val="32"/>
        </w:rPr>
        <w:t>推进公路安全生命防护工程建设。制定道路事故隐患排查治理标准，加强对事故多发路段和危险路段的综合治理。推进高速公路全程监控系统等智能交通管理系统建设。</w:t>
      </w:r>
      <w:r>
        <w:rPr>
          <w:rFonts w:hint="eastAsia" w:ascii="仿宋_GB2312" w:hAnsi="仿宋" w:eastAsia="仿宋_GB2312" w:cs="仿宋"/>
          <w:color w:val="000000"/>
          <w:sz w:val="32"/>
          <w:szCs w:val="32"/>
        </w:rPr>
        <w:t xml:space="preserve"> </w:t>
      </w:r>
    </w:p>
    <w:p>
      <w:pPr>
        <w:pStyle w:val="40"/>
        <w:pageBreakBefore w:val="0"/>
        <w:kinsoku/>
        <w:wordWrap/>
        <w:overflowPunct/>
        <w:bidi w:val="0"/>
        <w:snapToGrid/>
        <w:spacing w:line="560" w:lineRule="exact"/>
        <w:ind w:firstLine="0" w:firstLineChars="0"/>
        <w:textAlignment w:val="auto"/>
        <w:rPr>
          <w:rFonts w:hint="eastAsia" w:ascii="仿宋_GB2312" w:hAnsi="仿宋" w:cs="仿宋"/>
          <w:b/>
          <w:bCs/>
          <w:color w:val="000000"/>
          <w:sz w:val="32"/>
          <w:szCs w:val="32"/>
        </w:rPr>
      </w:pPr>
      <w:r>
        <w:rPr>
          <w:rFonts w:hint="eastAsia" w:ascii="仿宋_GB2312" w:hAnsi="仿宋" w:cs="仿宋"/>
          <w:b/>
          <w:bCs/>
          <w:color w:val="000000"/>
          <w:sz w:val="32"/>
          <w:szCs w:val="32"/>
        </w:rPr>
        <w:t xml:space="preserve">    铁路交通安全。</w:t>
      </w:r>
      <w:r>
        <w:rPr>
          <w:rFonts w:hint="eastAsia" w:ascii="仿宋_GB2312" w:hAnsi="仿宋" w:cs="仿宋"/>
          <w:color w:val="000000"/>
          <w:sz w:val="32"/>
          <w:szCs w:val="32"/>
        </w:rPr>
        <w:t>加强铁路安全基础建设。全面推进安全优质标准线建设，实现设备质量、安全管理、现场作业、队伍素质和职场环境“五个达标”。加强铁路安全防护设施建设，推进城市铁路道口“平改立”和线路封闭工作，推进划定铁路线路安全保护区，加强铁路沿线运输环境安全隐患治理。</w:t>
      </w:r>
    </w:p>
    <w:p>
      <w:pPr>
        <w:pStyle w:val="40"/>
        <w:pageBreakBefore w:val="0"/>
        <w:kinsoku/>
        <w:wordWrap/>
        <w:overflowPunct/>
        <w:bidi w:val="0"/>
        <w:snapToGrid/>
        <w:spacing w:line="560" w:lineRule="exact"/>
        <w:ind w:firstLine="634"/>
        <w:textAlignment w:val="auto"/>
        <w:rPr>
          <w:rFonts w:hint="eastAsia" w:ascii="仿宋_GB2312" w:hAnsi="仿宋" w:cs="仿宋"/>
          <w:color w:val="000000"/>
          <w:sz w:val="32"/>
          <w:szCs w:val="32"/>
        </w:rPr>
      </w:pPr>
      <w:r>
        <w:rPr>
          <w:rFonts w:hint="eastAsia" w:ascii="仿宋_GB2312" w:hAnsi="仿宋" w:cs="仿宋"/>
          <w:b/>
          <w:bCs/>
          <w:color w:val="000000"/>
          <w:sz w:val="32"/>
          <w:szCs w:val="32"/>
        </w:rPr>
        <w:t>水上交通安全。</w:t>
      </w:r>
      <w:r>
        <w:rPr>
          <w:rFonts w:hint="eastAsia" w:ascii="仿宋_GB2312" w:hAnsi="仿宋" w:cs="仿宋"/>
          <w:color w:val="000000"/>
          <w:sz w:val="32"/>
          <w:szCs w:val="32"/>
        </w:rPr>
        <w:t>完善水上安全防控体系，强化重点水域、重点船舶、重点水工作业区的综合治理，有效遏制重特大水上交通事故的发生。落实渡口渡船安全管理规定，加大渡口渡船资金投入，将渡口渡船运营纳入社会公共交通体系，全面推动渡口渡船升级改造。加强内河水上搜救能力建设，加快水上安全基础设施建设，整合搜救资源，提高内河水上搜救能力。创新安全监管模式，整合信息资源，提高信息化监管水平。建立风险管理及隐患排查机制，科学辨识、评估与跟踪处理水上交通安全风险源，提高风险管理水平和防控能力。</w:t>
      </w:r>
    </w:p>
    <w:p>
      <w:pPr>
        <w:pStyle w:val="40"/>
        <w:keepNext w:val="0"/>
        <w:keepLines w:val="0"/>
        <w:pageBreakBefore w:val="0"/>
        <w:widowControl w:val="0"/>
        <w:kinsoku/>
        <w:wordWrap/>
        <w:overflowPunct/>
        <w:topLinePunct w:val="0"/>
        <w:autoSpaceDE/>
        <w:autoSpaceDN/>
        <w:bidi w:val="0"/>
        <w:adjustRightInd/>
        <w:snapToGrid/>
        <w:spacing w:line="560" w:lineRule="exact"/>
        <w:ind w:firstLine="634"/>
        <w:textAlignment w:val="auto"/>
        <w:outlineLvl w:val="9"/>
        <w:rPr>
          <w:rFonts w:hint="eastAsia" w:ascii="仿宋_GB2312" w:hAnsi="仿宋" w:cs="仿宋"/>
          <w:color w:val="000000"/>
          <w:sz w:val="32"/>
          <w:szCs w:val="32"/>
        </w:rPr>
      </w:pPr>
      <w:r>
        <w:rPr>
          <w:rFonts w:hint="eastAsia" w:ascii="仿宋_GB2312" w:hAnsi="仿宋" w:cs="仿宋"/>
          <w:b/>
          <w:bCs/>
          <w:color w:val="000000"/>
          <w:sz w:val="32"/>
          <w:szCs w:val="32"/>
        </w:rPr>
        <w:t>轨道交通安全。</w:t>
      </w:r>
      <w:r>
        <w:rPr>
          <w:rFonts w:hint="eastAsia" w:ascii="仿宋_GB2312" w:hAnsi="仿宋" w:cs="仿宋"/>
          <w:color w:val="000000"/>
          <w:sz w:val="32"/>
          <w:szCs w:val="32"/>
        </w:rPr>
        <w:t>完善城市轨道交通的安全管理、应急管理、隐患排查治理、工程施工、设备设施故障处理等规章制度、标准，深入排查治理事故隐患。创新监管手段，推广应用涵盖地铁工程建设、运营、设施保护的安全预警与应急平台。</w:t>
      </w:r>
    </w:p>
    <w:p>
      <w:pPr>
        <w:pStyle w:val="40"/>
        <w:keepNext w:val="0"/>
        <w:keepLines w:val="0"/>
        <w:pageBreakBefore w:val="0"/>
        <w:widowControl w:val="0"/>
        <w:kinsoku/>
        <w:wordWrap/>
        <w:overflowPunct/>
        <w:topLinePunct w:val="0"/>
        <w:autoSpaceDE/>
        <w:autoSpaceDN/>
        <w:bidi w:val="0"/>
        <w:adjustRightInd/>
        <w:snapToGrid/>
        <w:spacing w:line="560" w:lineRule="exact"/>
        <w:ind w:firstLine="634"/>
        <w:textAlignment w:val="auto"/>
        <w:outlineLvl w:val="9"/>
        <w:rPr>
          <w:rFonts w:hint="eastAsia" w:ascii="仿宋_GB2312" w:hAnsi="仿宋" w:cs="仿宋"/>
          <w:color w:val="000000"/>
          <w:sz w:val="32"/>
          <w:szCs w:val="32"/>
        </w:rPr>
      </w:pPr>
    </w:p>
    <w:tbl>
      <w:tblPr>
        <w:tblStyle w:val="7"/>
        <w:tblW w:w="90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0"/>
        <w:gridCol w:w="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0" w:type="dxa"/>
          <w:trHeight w:val="517" w:hRule="atLeast"/>
          <w:jc w:val="center"/>
        </w:trPr>
        <w:tc>
          <w:tcPr>
            <w:tcW w:w="9060" w:type="dxa"/>
            <w:vAlign w:val="top"/>
          </w:tcPr>
          <w:p>
            <w:pPr>
              <w:pStyle w:val="15"/>
              <w:pageBreakBefore w:val="0"/>
              <w:tabs>
                <w:tab w:val="left" w:pos="632"/>
                <w:tab w:val="left" w:pos="7426"/>
              </w:tabs>
              <w:kinsoku/>
              <w:wordWrap/>
              <w:overflowPunct/>
              <w:bidi w:val="0"/>
              <w:adjustRightInd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专栏3 “十三五”时期交通运输安全管理目标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20" w:type="dxa"/>
          <w:trHeight w:val="3732" w:hRule="atLeast"/>
          <w:jc w:val="center"/>
        </w:trPr>
        <w:tc>
          <w:tcPr>
            <w:tcW w:w="9060" w:type="dxa"/>
            <w:vAlign w:val="top"/>
          </w:tcPr>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1.营运车辆交通运输安全管理“十三五”目标</w:t>
            </w:r>
          </w:p>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（1）辨识确定的安全生产重大风险源管控率达100%。</w:t>
            </w:r>
          </w:p>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（2）规模企业安全生产诚信等级评定率达95%。</w:t>
            </w:r>
          </w:p>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（3）乡道及以上行政等级公路和等级以上航道安全隐患段处治率达100%。</w:t>
            </w:r>
          </w:p>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（4）重点营运车辆联网联控车辆入网率、上线率达100%和90%。</w:t>
            </w:r>
          </w:p>
          <w:p>
            <w:pPr>
              <w:pStyle w:val="15"/>
              <w:pageBreakBefore w:val="0"/>
              <w:kinsoku/>
              <w:wordWrap/>
              <w:overflowPunct/>
              <w:autoSpaceDE w:val="0"/>
              <w:autoSpaceDN w:val="0"/>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（5）高速公路重点路段、大型桥梁、长大隧道运行监测覆盖率达100%。</w:t>
            </w:r>
          </w:p>
          <w:p>
            <w:pPr>
              <w:pStyle w:val="32"/>
              <w:pageBreakBefore w:val="0"/>
              <w:kinsoku/>
              <w:wordWrap/>
              <w:overflowPunct/>
              <w:autoSpaceDE w:val="0"/>
              <w:autoSpaceDN w:val="0"/>
              <w:bidi w:val="0"/>
              <w:adjustRightInd w:val="0"/>
              <w:snapToGrid/>
              <w:spacing w:line="560" w:lineRule="exact"/>
              <w:textAlignment w:val="auto"/>
              <w:rPr>
                <w:rFonts w:hint="eastAsia" w:ascii="仿宋_GB2312" w:hAnsi="仿宋" w:cs="仿宋"/>
                <w:b/>
                <w:bCs/>
                <w:color w:val="000000"/>
                <w:szCs w:val="32"/>
              </w:rPr>
            </w:pPr>
            <w:r>
              <w:rPr>
                <w:rFonts w:hint="eastAsia" w:ascii="仿宋_GB2312" w:hAnsi="仿宋" w:cs="仿宋"/>
                <w:b/>
                <w:bCs/>
                <w:color w:val="000000"/>
                <w:szCs w:val="32"/>
              </w:rPr>
              <w:t>2.铁路交通</w:t>
            </w:r>
            <w:r>
              <w:rPr>
                <w:rFonts w:hint="eastAsia" w:ascii="仿宋_GB2312" w:hAnsi="仿宋" w:cs="仿宋"/>
                <w:b/>
                <w:bCs/>
                <w:color w:val="000000"/>
                <w:szCs w:val="32"/>
                <w:lang w:val="zh-CN"/>
              </w:rPr>
              <w:t>安全优质标准线建设</w:t>
            </w:r>
            <w:r>
              <w:rPr>
                <w:rFonts w:hint="eastAsia" w:ascii="仿宋_GB2312" w:hAnsi="仿宋" w:cs="仿宋"/>
                <w:b/>
                <w:bCs/>
                <w:color w:val="000000"/>
                <w:szCs w:val="32"/>
              </w:rPr>
              <w:t>五达标</w:t>
            </w:r>
          </w:p>
          <w:p>
            <w:pPr>
              <w:pStyle w:val="32"/>
              <w:pageBreakBefore w:val="0"/>
              <w:kinsoku/>
              <w:wordWrap/>
              <w:overflowPunct/>
              <w:autoSpaceDE w:val="0"/>
              <w:autoSpaceDN w:val="0"/>
              <w:bidi w:val="0"/>
              <w:adjustRightInd w:val="0"/>
              <w:snapToGrid/>
              <w:spacing w:line="560" w:lineRule="exact"/>
              <w:textAlignment w:val="auto"/>
              <w:rPr>
                <w:rFonts w:hint="eastAsia" w:ascii="仿宋_GB2312" w:hAnsi="仿宋" w:cs="仿宋"/>
                <w:color w:val="000000"/>
                <w:szCs w:val="32"/>
                <w:lang w:val="zh-CN"/>
              </w:rPr>
            </w:pPr>
            <w:r>
              <w:rPr>
                <w:rFonts w:hint="eastAsia" w:ascii="仿宋_GB2312" w:hAnsi="仿宋" w:cs="仿宋"/>
                <w:color w:val="000000"/>
                <w:szCs w:val="32"/>
                <w:lang w:val="zh-CN"/>
              </w:rPr>
              <w:t>（</w:t>
            </w:r>
            <w:r>
              <w:rPr>
                <w:rFonts w:hint="eastAsia" w:ascii="仿宋_GB2312" w:hAnsi="仿宋" w:cs="仿宋"/>
                <w:color w:val="000000"/>
                <w:szCs w:val="32"/>
              </w:rPr>
              <w:t>1</w:t>
            </w:r>
            <w:r>
              <w:rPr>
                <w:rFonts w:hint="eastAsia" w:ascii="仿宋_GB2312" w:hAnsi="仿宋" w:cs="仿宋"/>
                <w:color w:val="000000"/>
                <w:szCs w:val="32"/>
                <w:lang w:val="zh-CN"/>
              </w:rPr>
              <w:t>）设备质量达标：运输技术装备精良，设备能力规划科学，设备质量动态达标，安全性能稳定可靠。</w:t>
            </w:r>
          </w:p>
          <w:p>
            <w:pPr>
              <w:pStyle w:val="32"/>
              <w:pageBreakBefore w:val="0"/>
              <w:kinsoku/>
              <w:wordWrap/>
              <w:overflowPunct/>
              <w:autoSpaceDE w:val="0"/>
              <w:autoSpaceDN w:val="0"/>
              <w:bidi w:val="0"/>
              <w:adjustRightInd w:val="0"/>
              <w:snapToGrid/>
              <w:spacing w:line="560" w:lineRule="exact"/>
              <w:textAlignment w:val="auto"/>
              <w:rPr>
                <w:rFonts w:hint="eastAsia" w:ascii="仿宋_GB2312" w:hAnsi="仿宋" w:cs="仿宋"/>
                <w:color w:val="000000"/>
                <w:szCs w:val="32"/>
                <w:lang w:val="zh-CN"/>
              </w:rPr>
            </w:pPr>
            <w:r>
              <w:rPr>
                <w:rFonts w:hint="eastAsia" w:ascii="仿宋_GB2312" w:hAnsi="仿宋" w:cs="仿宋"/>
                <w:color w:val="000000"/>
                <w:szCs w:val="32"/>
                <w:lang w:val="zh-CN"/>
              </w:rPr>
              <w:t>（</w:t>
            </w:r>
            <w:r>
              <w:rPr>
                <w:rFonts w:hint="eastAsia" w:ascii="仿宋_GB2312" w:hAnsi="仿宋" w:cs="仿宋"/>
                <w:color w:val="000000"/>
                <w:szCs w:val="32"/>
              </w:rPr>
              <w:t>2</w:t>
            </w:r>
            <w:r>
              <w:rPr>
                <w:rFonts w:hint="eastAsia" w:ascii="仿宋_GB2312" w:hAnsi="仿宋" w:cs="仿宋"/>
                <w:color w:val="000000"/>
                <w:szCs w:val="32"/>
                <w:lang w:val="zh-CN"/>
              </w:rPr>
              <w:t>）安全管理达标：进一步健全完善安全责任制度、技术规章、专业管理、设备管理、安全监管、结合部管理、安全预警防范、安全评估、安全投入和安全考核激励等制度，形成科学的安全管理机制和运作体系，提升风险过程控制和源头治本能力，推动安全管理法制化、规范化。</w:t>
            </w:r>
          </w:p>
          <w:p>
            <w:pPr>
              <w:pStyle w:val="32"/>
              <w:pageBreakBefore w:val="0"/>
              <w:kinsoku/>
              <w:wordWrap/>
              <w:overflowPunct/>
              <w:autoSpaceDE w:val="0"/>
              <w:autoSpaceDN w:val="0"/>
              <w:bidi w:val="0"/>
              <w:adjustRightInd w:val="0"/>
              <w:snapToGrid/>
              <w:spacing w:line="560" w:lineRule="exact"/>
              <w:textAlignment w:val="auto"/>
              <w:rPr>
                <w:rFonts w:hint="eastAsia" w:ascii="仿宋_GB2312" w:hAnsi="仿宋" w:cs="仿宋"/>
                <w:color w:val="000000"/>
                <w:szCs w:val="32"/>
                <w:lang w:val="zh-CN"/>
              </w:rPr>
            </w:pPr>
            <w:r>
              <w:rPr>
                <w:rFonts w:hint="eastAsia" w:ascii="仿宋_GB2312" w:hAnsi="仿宋" w:cs="仿宋"/>
                <w:color w:val="000000"/>
                <w:szCs w:val="32"/>
                <w:lang w:val="zh-CN"/>
              </w:rPr>
              <w:t>（</w:t>
            </w:r>
            <w:r>
              <w:rPr>
                <w:rFonts w:hint="eastAsia" w:ascii="仿宋_GB2312" w:hAnsi="仿宋" w:cs="仿宋"/>
                <w:color w:val="000000"/>
                <w:szCs w:val="32"/>
              </w:rPr>
              <w:t>3</w:t>
            </w:r>
            <w:r>
              <w:rPr>
                <w:rFonts w:hint="eastAsia" w:ascii="仿宋_GB2312" w:hAnsi="仿宋" w:cs="仿宋"/>
                <w:color w:val="000000"/>
                <w:szCs w:val="32"/>
                <w:lang w:val="zh-CN"/>
              </w:rPr>
              <w:t>）现场作业达标：以全面推进作业标准化体系建设为载体，实现作业标准完善、技术管理规范、落实机制健全、岗位风险可控，职工标准化作业意识和能力大幅提高，违章作业问题得到有效解决，现场作业安全有序可控。</w:t>
            </w:r>
          </w:p>
          <w:p>
            <w:pPr>
              <w:pStyle w:val="32"/>
              <w:pageBreakBefore w:val="0"/>
              <w:kinsoku/>
              <w:wordWrap/>
              <w:overflowPunct/>
              <w:autoSpaceDE w:val="0"/>
              <w:autoSpaceDN w:val="0"/>
              <w:bidi w:val="0"/>
              <w:adjustRightInd w:val="0"/>
              <w:snapToGrid/>
              <w:spacing w:line="560" w:lineRule="exact"/>
              <w:textAlignment w:val="auto"/>
              <w:rPr>
                <w:rFonts w:hint="eastAsia" w:ascii="仿宋_GB2312" w:hAnsi="仿宋" w:cs="仿宋"/>
                <w:color w:val="000000"/>
                <w:szCs w:val="32"/>
                <w:lang w:val="zh-CN"/>
              </w:rPr>
            </w:pPr>
            <w:r>
              <w:rPr>
                <w:rFonts w:hint="eastAsia" w:ascii="仿宋_GB2312" w:hAnsi="仿宋" w:cs="仿宋"/>
                <w:color w:val="000000"/>
                <w:szCs w:val="32"/>
                <w:lang w:val="zh-CN"/>
              </w:rPr>
              <w:t>（</w:t>
            </w:r>
            <w:r>
              <w:rPr>
                <w:rFonts w:hint="eastAsia" w:ascii="仿宋_GB2312" w:hAnsi="仿宋" w:cs="仿宋"/>
                <w:color w:val="000000"/>
                <w:szCs w:val="32"/>
              </w:rPr>
              <w:t>4</w:t>
            </w:r>
            <w:r>
              <w:rPr>
                <w:rFonts w:hint="eastAsia" w:ascii="仿宋_GB2312" w:hAnsi="仿宋" w:cs="仿宋"/>
                <w:color w:val="000000"/>
                <w:szCs w:val="32"/>
                <w:lang w:val="zh-CN"/>
              </w:rPr>
              <w:t>）队伍素质达标：盘活人力资源，优化队伍结构，完善准入机制，推进培训能力建设，创新信息化、网络化培训模式。提升职业教育资源配置，因地制宜构建集团级职业教育实训基地，建立站区区域性电教室，建设满足需求的站段</w:t>
            </w:r>
            <w:r>
              <w:rPr>
                <w:rFonts w:hint="eastAsia" w:ascii="仿宋_GB2312" w:hAnsi="仿宋" w:cs="仿宋"/>
                <w:color w:val="000000"/>
                <w:szCs w:val="32"/>
                <w:highlight w:val="none"/>
                <w:lang w:val="zh-CN"/>
              </w:rPr>
              <w:t>级</w:t>
            </w:r>
            <w:r>
              <w:rPr>
                <w:rFonts w:hint="eastAsia" w:ascii="仿宋_GB2312" w:hAnsi="仿宋" w:cs="仿宋"/>
                <w:color w:val="000000"/>
                <w:szCs w:val="32"/>
                <w:lang w:val="zh-CN"/>
              </w:rPr>
              <w:t>技能实训场所，逐步在车间工区配置岗位实作练功设备。</w:t>
            </w:r>
          </w:p>
          <w:p>
            <w:pPr>
              <w:pStyle w:val="15"/>
              <w:pageBreakBefore w:val="0"/>
              <w:tabs>
                <w:tab w:val="left" w:pos="632"/>
                <w:tab w:val="left" w:pos="7426"/>
              </w:tabs>
              <w:kinsoku/>
              <w:wordWrap/>
              <w:overflowPunct/>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lang w:val="zh-CN"/>
              </w:rPr>
              <w:t>（</w:t>
            </w:r>
            <w:r>
              <w:rPr>
                <w:rFonts w:hint="eastAsia" w:ascii="仿宋_GB2312" w:hAnsi="仿宋" w:eastAsia="仿宋_GB2312" w:cs="仿宋"/>
                <w:color w:val="000000"/>
                <w:sz w:val="32"/>
                <w:szCs w:val="32"/>
              </w:rPr>
              <w:t>5</w:t>
            </w:r>
            <w:r>
              <w:rPr>
                <w:rFonts w:hint="eastAsia" w:ascii="仿宋_GB2312" w:hAnsi="仿宋" w:eastAsia="仿宋_GB2312" w:cs="仿宋"/>
                <w:color w:val="000000"/>
                <w:sz w:val="32"/>
                <w:szCs w:val="32"/>
                <w:lang w:val="zh-CN"/>
              </w:rPr>
              <w:t>）职场环境达标：改造生产场所设备设施，实行可视化和定置管理，实现生产和办公环境建设布局风格一致、标志标识统一、文化氛围深厚，做到整洁规范人性化。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95" w:hRule="atLeast"/>
          <w:jc w:val="center"/>
        </w:trPr>
        <w:tc>
          <w:tcPr>
            <w:tcW w:w="9080" w:type="dxa"/>
            <w:gridSpan w:val="2"/>
            <w:vAlign w:val="top"/>
          </w:tcPr>
          <w:p>
            <w:pPr>
              <w:pStyle w:val="15"/>
              <w:pageBreakBefore w:val="0"/>
              <w:tabs>
                <w:tab w:val="left" w:pos="632"/>
                <w:tab w:val="left" w:pos="7426"/>
              </w:tabs>
              <w:kinsoku/>
              <w:wordWrap/>
              <w:overflowPunct/>
              <w:bidi w:val="0"/>
              <w:adjustRightInd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专栏4 “十三五”时期推进平安交通的重点建设项目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36" w:hRule="atLeast"/>
          <w:jc w:val="center"/>
        </w:trPr>
        <w:tc>
          <w:tcPr>
            <w:tcW w:w="9080" w:type="dxa"/>
            <w:gridSpan w:val="2"/>
            <w:vAlign w:val="top"/>
          </w:tcPr>
          <w:p>
            <w:pPr>
              <w:pStyle w:val="15"/>
              <w:pageBreakBefore w:val="0"/>
              <w:numPr>
                <w:ilvl w:val="0"/>
                <w:numId w:val="6"/>
              </w:numPr>
              <w:shd w:val="clear"/>
              <w:tabs>
                <w:tab w:val="left" w:pos="632"/>
                <w:tab w:val="left" w:pos="7426"/>
              </w:tabs>
              <w:kinsoku/>
              <w:wordWrap/>
              <w:overflowPunct/>
              <w:bidi w:val="0"/>
              <w:adjustRightInd w:val="0"/>
              <w:snapToGrid/>
              <w:spacing w:line="560" w:lineRule="exact"/>
              <w:textAlignment w:val="auto"/>
              <w:rPr>
                <w:rFonts w:hint="eastAsia" w:ascii="仿宋_GB2312" w:hAnsi="仿宋" w:eastAsia="仿宋_GB2312" w:cs="仿宋"/>
                <w:color w:val="000000" w:themeColor="text1"/>
                <w:sz w:val="32"/>
                <w:szCs w:val="32"/>
                <w:u w:val="none"/>
                <w:shd w:val="clear"/>
                <w14:textFill>
                  <w14:solidFill>
                    <w14:schemeClr w14:val="tx1"/>
                  </w14:solidFill>
                </w14:textFill>
              </w:rPr>
            </w:pPr>
            <w:r>
              <w:rPr>
                <w:rFonts w:hint="eastAsia" w:ascii="仿宋_GB2312" w:hAnsi="仿宋" w:eastAsia="仿宋_GB2312" w:cs="仿宋"/>
                <w:b/>
                <w:bCs/>
                <w:color w:val="000000"/>
                <w:sz w:val="32"/>
                <w:szCs w:val="32"/>
              </w:rPr>
              <w:t>实施公路安全生命防护工程。</w:t>
            </w:r>
            <w:r>
              <w:rPr>
                <w:rFonts w:hint="eastAsia" w:ascii="仿宋_GB2312" w:hAnsi="仿宋" w:eastAsia="仿宋_GB2312" w:cs="仿宋"/>
                <w:color w:val="000000" w:themeColor="text1"/>
                <w:sz w:val="32"/>
                <w:szCs w:val="32"/>
                <w:u w:val="none"/>
                <w:shd w:val="clear"/>
                <w14:textFill>
                  <w14:solidFill>
                    <w14:schemeClr w14:val="tx1"/>
                  </w14:solidFill>
                </w14:textFill>
              </w:rPr>
              <w:t>2016至2020年，实施</w:t>
            </w:r>
            <w:r>
              <w:rPr>
                <w:rFonts w:hint="eastAsia" w:ascii="仿宋_GB2312" w:hAnsi="仿宋" w:eastAsia="仿宋_GB2312" w:cs="仿宋"/>
                <w:color w:val="000000" w:themeColor="text1"/>
                <w:sz w:val="32"/>
                <w:szCs w:val="32"/>
                <w:u w:val="none"/>
                <w:shd w:val="clear"/>
                <w:lang w:val="en-US" w:eastAsia="zh-CN"/>
                <w14:textFill>
                  <w14:solidFill>
                    <w14:schemeClr w14:val="tx1"/>
                  </w14:solidFill>
                </w14:textFill>
              </w:rPr>
              <w:t>1191.08</w:t>
            </w:r>
            <w:r>
              <w:rPr>
                <w:rFonts w:hint="eastAsia" w:ascii="仿宋_GB2312" w:hAnsi="仿宋" w:eastAsia="仿宋_GB2312" w:cs="仿宋"/>
                <w:color w:val="000000" w:themeColor="text1"/>
                <w:sz w:val="32"/>
                <w:szCs w:val="32"/>
                <w:u w:val="none"/>
                <w:shd w:val="clear"/>
                <w14:textFill>
                  <w14:solidFill>
                    <w14:schemeClr w14:val="tx1"/>
                  </w14:solidFill>
                </w14:textFill>
              </w:rPr>
              <w:t>公里安全隐患路段治理。</w:t>
            </w:r>
          </w:p>
          <w:p>
            <w:pPr>
              <w:pStyle w:val="15"/>
              <w:pageBreakBefore w:val="0"/>
              <w:numPr>
                <w:ilvl w:val="0"/>
                <w:numId w:val="6"/>
              </w:numPr>
              <w:shd w:val="clear"/>
              <w:tabs>
                <w:tab w:val="left" w:pos="632"/>
                <w:tab w:val="left" w:pos="7426"/>
              </w:tabs>
              <w:kinsoku/>
              <w:wordWrap/>
              <w:overflowPunct/>
              <w:bidi w:val="0"/>
              <w:adjustRightInd w:val="0"/>
              <w:snapToGrid/>
              <w:spacing w:line="560" w:lineRule="exact"/>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themeColor="text1"/>
                <w:sz w:val="32"/>
                <w:szCs w:val="32"/>
                <w14:textFill>
                  <w14:solidFill>
                    <w14:schemeClr w14:val="tx1"/>
                  </w14:solidFill>
                </w14:textFill>
              </w:rPr>
              <w:t>加大危桥和渡口渡船更新改造力度。</w:t>
            </w:r>
            <w:r>
              <w:rPr>
                <w:rFonts w:hint="eastAsia" w:ascii="仿宋_GB2312" w:hAnsi="仿宋" w:eastAsia="仿宋_GB2312" w:cs="仿宋"/>
                <w:color w:val="000000" w:themeColor="text1"/>
                <w:sz w:val="32"/>
                <w:szCs w:val="32"/>
                <w:shd w:val="clear"/>
                <w14:textFill>
                  <w14:solidFill>
                    <w14:schemeClr w14:val="tx1"/>
                  </w14:solidFill>
                </w14:textFill>
              </w:rPr>
              <w:t>推进全</w:t>
            </w:r>
            <w:r>
              <w:rPr>
                <w:rFonts w:hint="eastAsia" w:ascii="仿宋_GB2312" w:hAnsi="仿宋" w:eastAsia="仿宋_GB2312" w:cs="仿宋"/>
                <w:color w:val="000000" w:themeColor="text1"/>
                <w:sz w:val="32"/>
                <w:szCs w:val="32"/>
                <w:shd w:val="clear"/>
                <w:lang w:val="en-US" w:eastAsia="zh-CN"/>
                <w14:textFill>
                  <w14:solidFill>
                    <w14:schemeClr w14:val="tx1"/>
                  </w14:solidFill>
                </w14:textFill>
              </w:rPr>
              <w:t>区6</w:t>
            </w:r>
            <w:r>
              <w:rPr>
                <w:rFonts w:hint="eastAsia" w:ascii="仿宋_GB2312" w:hAnsi="仿宋" w:eastAsia="仿宋_GB2312" w:cs="仿宋"/>
                <w:color w:val="000000" w:themeColor="text1"/>
                <w:sz w:val="32"/>
                <w:szCs w:val="32"/>
                <w:shd w:val="clear"/>
                <w14:textFill>
                  <w14:solidFill>
                    <w14:schemeClr w14:val="tx1"/>
                  </w14:solidFill>
                </w14:textFill>
              </w:rPr>
              <w:t>座危桥和每年新增危桥的改造工作。</w:t>
            </w:r>
          </w:p>
        </w:tc>
      </w:tr>
    </w:tbl>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21" w:name="_Toc17028"/>
      <w:bookmarkStart w:id="122" w:name="_Toc28549"/>
      <w:r>
        <w:rPr>
          <w:rFonts w:hint="eastAsia" w:ascii="黑体" w:hAnsi="黑体" w:eastAsia="黑体" w:cs="仿宋"/>
          <w:b w:val="0"/>
          <w:color w:val="000000"/>
        </w:rPr>
        <w:t>第二节  加强火灾风险防控</w:t>
      </w:r>
      <w:bookmarkEnd w:id="121"/>
      <w:bookmarkEnd w:id="122"/>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开展城市火灾风险评估，完善火灾风险评价预警机制，划分不同风险等级。持续开展高层建筑、地下建筑、大型综合体、“三小”场所和石油化工等领域专项治理。推动第三方中介服务机构对火灾隐患重点地区开展</w:t>
      </w:r>
      <w:r>
        <w:rPr>
          <w:rFonts w:hint="eastAsia" w:ascii="仿宋_GB2312" w:hAnsi="仿宋" w:eastAsia="仿宋_GB2312" w:cs="仿宋"/>
          <w:snapToGrid w:val="0"/>
          <w:color w:val="000000"/>
          <w:kern w:val="0"/>
          <w:sz w:val="32"/>
          <w:szCs w:val="32"/>
        </w:rPr>
        <w:t>评估验收工作。</w:t>
      </w:r>
      <w:r>
        <w:rPr>
          <w:rFonts w:hint="eastAsia" w:ascii="仿宋_GB2312" w:hAnsi="仿宋" w:eastAsia="仿宋_GB2312" w:cs="仿宋"/>
          <w:color w:val="000000"/>
          <w:sz w:val="32"/>
          <w:szCs w:val="32"/>
        </w:rPr>
        <w:t>鼓励和推广在居民家庭、“三小”场所安装独立式火灾探测报警器等技防设施。健全</w:t>
      </w:r>
      <w:r>
        <w:rPr>
          <w:rFonts w:hint="eastAsia" w:ascii="仿宋_GB2312" w:hAnsi="仿宋" w:eastAsia="仿宋_GB2312" w:cs="仿宋"/>
          <w:color w:val="000000"/>
          <w:sz w:val="32"/>
          <w:szCs w:val="32"/>
          <w:lang w:val="en-US" w:eastAsia="zh-CN"/>
        </w:rPr>
        <w:t>市</w:t>
      </w:r>
      <w:r>
        <w:rPr>
          <w:rFonts w:hint="eastAsia" w:ascii="仿宋_GB2312" w:hAnsi="仿宋" w:eastAsia="仿宋_GB2312" w:cs="仿宋"/>
          <w:color w:val="000000"/>
          <w:sz w:val="32"/>
          <w:szCs w:val="32"/>
        </w:rPr>
        <w:t>政消火栓建设、管理、维护机制。加强消防站建设，在所有街道、社区和消防安全重点单位建立“有人员、有器材、有战斗力”的微型消防站。加强消防队伍建设，加快发展多种形式消防力量。加强消防装备建设，完成超期服役且性能不达标消防车的更新换代，加强消防员防护装备建设。推进消防信息化建设，构建“智慧消防”安全物联网监管平台，应用大数据、互联网+等技术，提升社会火灾防控水平。坚决遏制重特大和群死群伤火灾事故，预防和杜绝较大火灾事故，年度10万人口火灾死亡率控制在0.24人以内，全力保持全</w:t>
      </w:r>
      <w:r>
        <w:rPr>
          <w:rFonts w:hint="eastAsia" w:ascii="仿宋_GB2312" w:hAnsi="仿宋" w:eastAsia="仿宋_GB2312" w:cs="仿宋"/>
          <w:color w:val="000000"/>
          <w:sz w:val="32"/>
          <w:szCs w:val="32"/>
          <w:lang w:eastAsia="zh-CN"/>
        </w:rPr>
        <w:t>区</w:t>
      </w:r>
      <w:r>
        <w:rPr>
          <w:rFonts w:hint="eastAsia" w:ascii="仿宋_GB2312" w:hAnsi="仿宋" w:eastAsia="仿宋_GB2312" w:cs="仿宋"/>
          <w:color w:val="000000"/>
          <w:sz w:val="32"/>
          <w:szCs w:val="32"/>
        </w:rPr>
        <w:t>消防安全形势的持续平稳。</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23" w:name="_Toc3142"/>
      <w:r>
        <w:rPr>
          <w:rFonts w:hint="eastAsia" w:ascii="黑体" w:hAnsi="黑体" w:eastAsia="黑体" w:cs="仿宋"/>
          <w:b w:val="0"/>
          <w:color w:val="000000"/>
        </w:rPr>
        <w:t>第三节  提升危险化学品安全监管水平</w:t>
      </w:r>
      <w:bookmarkEnd w:id="123"/>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28"/>
        </w:rPr>
      </w:pPr>
      <w:bookmarkStart w:id="124" w:name="_Toc425086787"/>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28"/>
        </w:rPr>
        <w:t>推进广州（清远）产业转移园精细化工产业基地建设并实施一体化管理。</w:t>
      </w:r>
      <w:r>
        <w:rPr>
          <w:rFonts w:hint="eastAsia" w:ascii="仿宋_GB2312" w:hAnsi="仿宋" w:eastAsia="仿宋_GB2312" w:cs="仿宋"/>
          <w:color w:val="000000"/>
          <w:sz w:val="32"/>
          <w:szCs w:val="32"/>
        </w:rPr>
        <w:t>严格实施危险化学品安全许可准入，强化源头管理。健全危险化学品生产、储存、使用、经营、运输等环节信息共享和监管联动机制，完善危险化学品安全监管部门间联席会议制度和联合执法工作机制。加强危险化学品道路运输安全管理，推动建立跨区域监管机制。开展危险化学品企业综合治理，加强危险化学品企业化工过程安全管理，推进规定场所的自动化装置配置和智能监控，深入排查治理事故隐患和职业病危害。</w:t>
      </w:r>
    </w:p>
    <w:p>
      <w:pPr>
        <w:pStyle w:val="15"/>
        <w:pageBreakBefore w:val="0"/>
        <w:kinsoku/>
        <w:wordWrap/>
        <w:overflowPunct/>
        <w:bidi w:val="0"/>
        <w:snapToGrid/>
        <w:spacing w:line="560" w:lineRule="exact"/>
        <w:ind w:firstLine="420" w:firstLineChars="200"/>
        <w:textAlignment w:val="auto"/>
        <w:rPr>
          <w:rFonts w:hint="eastAsia" w:ascii="仿宋_GB2312" w:hAnsi="仿宋" w:eastAsia="仿宋_GB2312"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25" w:name="_Toc17344"/>
      <w:r>
        <w:rPr>
          <w:rFonts w:hint="eastAsia" w:ascii="黑体" w:hAnsi="黑体" w:eastAsia="黑体" w:cs="仿宋"/>
          <w:b w:val="0"/>
          <w:color w:val="000000"/>
        </w:rPr>
        <w:t>第四节  健全烟花爆竹安全监管机制</w:t>
      </w:r>
      <w:bookmarkEnd w:id="125"/>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健全烟花爆竹经营、运输、储存和燃放各环节安全监管机制。优化烟花爆竹经营单位规划布局，严格实施烟花爆竹经营许可准入，大力推进烟花爆竹仓库改造提升。全面推行应用烟花爆竹流向信息管理系统，加强烟花爆竹道路运输安全管理，深入开展烟花爆竹领域事故隐患排查治理。建立健全打击非法经营、运输、储存烟花爆竹等违法行为工作长效机制。加大部门联合执法力度，依法查处烟花爆竹领域非法违法行为。加强对没收的非法烟花爆竹以及生产、经营单位弃置的废旧烟花爆竹的安全管理，做好封存、销毁等工作。</w:t>
      </w: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tbl>
      <w:tblPr>
        <w:tblStyle w:val="7"/>
        <w:tblW w:w="872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2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8723" w:type="dxa"/>
            <w:vAlign w:val="top"/>
          </w:tcPr>
          <w:p>
            <w:pPr>
              <w:pStyle w:val="26"/>
              <w:pageBreakBefore w:val="0"/>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b/>
                <w:bCs/>
                <w:color w:val="000000"/>
                <w:szCs w:val="32"/>
              </w:rPr>
              <w:t>专栏5 “十三五”时期烟花爆竹安全监管水平提升工程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0" w:hRule="atLeast"/>
          <w:jc w:val="center"/>
        </w:trPr>
        <w:tc>
          <w:tcPr>
            <w:tcW w:w="8723" w:type="dxa"/>
            <w:vAlign w:val="center"/>
          </w:tcPr>
          <w:p>
            <w:pPr>
              <w:pStyle w:val="26"/>
              <w:pageBreakBefore w:val="0"/>
              <w:kinsoku/>
              <w:wordWrap/>
              <w:overflowPunct/>
              <w:bidi w:val="0"/>
              <w:snapToGrid/>
              <w:spacing w:line="560" w:lineRule="exact"/>
              <w:textAlignment w:val="auto"/>
              <w:rPr>
                <w:rFonts w:hint="eastAsia" w:ascii="仿宋_GB2312" w:hAnsi="仿宋" w:cs="仿宋"/>
                <w:bCs/>
                <w:color w:val="000000"/>
                <w:szCs w:val="32"/>
              </w:rPr>
            </w:pPr>
            <w:r>
              <w:rPr>
                <w:rFonts w:hint="eastAsia" w:ascii="仿宋_GB2312" w:hAnsi="仿宋" w:cs="仿宋"/>
                <w:bCs/>
                <w:color w:val="000000"/>
                <w:szCs w:val="32"/>
              </w:rPr>
              <w:t>1.深入开展烟花爆竹领域事故隐患排查治理，严格实施烟花爆竹经营许可准入，严格执行烟花爆竹“两关闭”政策（关闭存在“下店上宅”、“</w:t>
            </w:r>
            <w:r>
              <w:rPr>
                <w:rFonts w:hint="eastAsia" w:ascii="仿宋_GB2312" w:hAnsi="仿宋" w:cs="仿宋"/>
                <w:bCs/>
                <w:color w:val="000000"/>
                <w:szCs w:val="32"/>
                <w:highlight w:val="none"/>
              </w:rPr>
              <w:t>前店后宅</w:t>
            </w:r>
            <w:r>
              <w:rPr>
                <w:rFonts w:hint="eastAsia" w:ascii="仿宋_GB2312" w:hAnsi="仿宋" w:cs="仿宋"/>
                <w:bCs/>
                <w:color w:val="000000"/>
                <w:szCs w:val="32"/>
              </w:rPr>
              <w:t>”等与居民居住场所设置在同一建筑物内的零售点，关闭与人员密集场所和重点建筑物安全距离不足、集中连片经营、在超市内销售、未按规定专店销售的零售点），进一步优化烟花爆竹经营单位规划布局。</w:t>
            </w:r>
          </w:p>
          <w:p>
            <w:pPr>
              <w:pStyle w:val="26"/>
              <w:pageBreakBefore w:val="0"/>
              <w:kinsoku/>
              <w:wordWrap/>
              <w:overflowPunct/>
              <w:bidi w:val="0"/>
              <w:snapToGrid/>
              <w:spacing w:line="560" w:lineRule="exact"/>
              <w:textAlignment w:val="auto"/>
              <w:rPr>
                <w:rFonts w:hint="eastAsia" w:ascii="仿宋_GB2312" w:hAnsi="仿宋" w:cs="仿宋"/>
                <w:color w:val="000000"/>
                <w:szCs w:val="32"/>
              </w:rPr>
            </w:pPr>
            <w:r>
              <w:rPr>
                <w:rFonts w:hint="eastAsia" w:ascii="仿宋_GB2312" w:hAnsi="仿宋" w:cs="仿宋"/>
                <w:bCs/>
                <w:color w:val="000000"/>
                <w:szCs w:val="32"/>
              </w:rPr>
              <w:t>2.全面推行应用烟花爆竹流向信息管理系统，构建符合我</w:t>
            </w:r>
            <w:r>
              <w:rPr>
                <w:rFonts w:hint="eastAsia" w:ascii="仿宋_GB2312" w:hAnsi="仿宋" w:cs="仿宋"/>
                <w:bCs/>
                <w:color w:val="000000"/>
                <w:szCs w:val="32"/>
                <w:lang w:val="en-US" w:eastAsia="zh-CN"/>
              </w:rPr>
              <w:t>区</w:t>
            </w:r>
            <w:r>
              <w:rPr>
                <w:rFonts w:hint="eastAsia" w:ascii="仿宋_GB2312" w:hAnsi="仿宋" w:cs="仿宋"/>
                <w:bCs/>
                <w:color w:val="000000"/>
                <w:szCs w:val="32"/>
              </w:rPr>
              <w:t>实际的烟花爆竹追溯体系，进一步加强烟花爆竹经营、运输、储存和燃放各环节安全管理。</w:t>
            </w:r>
          </w:p>
        </w:tc>
      </w:tr>
    </w:tbl>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26" w:name="_Toc13633"/>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r>
        <w:rPr>
          <w:rFonts w:hint="eastAsia" w:ascii="黑体" w:hAnsi="黑体" w:eastAsia="黑体" w:cs="仿宋"/>
          <w:b w:val="0"/>
          <w:color w:val="000000"/>
        </w:rPr>
        <w:t xml:space="preserve">第五节 </w:t>
      </w:r>
      <w:r>
        <w:rPr>
          <w:rFonts w:hint="eastAsia" w:ascii="黑体" w:hAnsi="黑体" w:eastAsia="黑体" w:cs="仿宋"/>
          <w:b w:val="0"/>
          <w:bCs w:val="0"/>
          <w:color w:val="000000"/>
        </w:rPr>
        <w:t xml:space="preserve">  </w:t>
      </w:r>
      <w:r>
        <w:rPr>
          <w:rFonts w:hint="eastAsia" w:ascii="黑体" w:hAnsi="黑体" w:eastAsia="黑体" w:cs="仿宋"/>
          <w:b w:val="0"/>
          <w:color w:val="000000"/>
        </w:rPr>
        <w:t>推进矿山本质安全基础建设</w:t>
      </w:r>
      <w:bookmarkEnd w:id="126"/>
    </w:p>
    <w:p>
      <w:pPr>
        <w:pStyle w:val="15"/>
        <w:pageBreakBefore w:val="0"/>
        <w:kinsoku/>
        <w:wordWrap/>
        <w:overflowPunct/>
        <w:bidi w:val="0"/>
        <w:snapToGrid/>
        <w:spacing w:line="560" w:lineRule="exact"/>
        <w:ind w:firstLine="627" w:firstLineChars="196"/>
        <w:textAlignment w:val="auto"/>
        <w:rPr>
          <w:rFonts w:hint="eastAsia" w:ascii="黑体" w:hAnsi="黑体" w:eastAsia="黑体" w:cs="仿宋"/>
          <w:color w:val="000000"/>
          <w:sz w:val="32"/>
          <w:szCs w:val="32"/>
        </w:rPr>
      </w:pPr>
    </w:p>
    <w:p>
      <w:pPr>
        <w:pStyle w:val="15"/>
        <w:pageBreakBefore w:val="0"/>
        <w:kinsoku/>
        <w:wordWrap/>
        <w:overflowPunct/>
        <w:bidi w:val="0"/>
        <w:snapToGrid/>
        <w:spacing w:line="560" w:lineRule="exact"/>
        <w:ind w:firstLine="627" w:firstLineChars="196"/>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加强矿山企业的安全管理机构和人员队伍建设，保障安全投入。严格执行矿山开采安全准入标准，持续开展矿山整治关闭工作，逐步关闭不具备安全生产条件、破坏环境、污染严重的矿山，推进我</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绿色矿业发展，健全正常退出机制。严格矿山建设项目安全设施“三同时”审查和安全生产许可证颁发工作。深入开展矿山事故隐患和职业病危害排查工作，加大安全检查执法力度，推进矿山企业安全标准化建设，夯实安全基础。</w:t>
      </w:r>
    </w:p>
    <w:p>
      <w:pPr>
        <w:pStyle w:val="15"/>
        <w:pageBreakBefore w:val="0"/>
        <w:kinsoku/>
        <w:wordWrap/>
        <w:overflowPunct/>
        <w:bidi w:val="0"/>
        <w:snapToGrid/>
        <w:spacing w:line="560" w:lineRule="exact"/>
        <w:ind w:firstLine="627" w:firstLineChars="196"/>
        <w:textAlignment w:val="auto"/>
        <w:rPr>
          <w:rFonts w:hint="eastAsia" w:ascii="仿宋_GB2312" w:hAnsi="仿宋" w:eastAsia="仿宋_GB2312" w:cs="仿宋"/>
          <w:color w:val="000000"/>
          <w:sz w:val="32"/>
          <w:szCs w:val="32"/>
        </w:rPr>
      </w:pPr>
    </w:p>
    <w:tbl>
      <w:tblPr>
        <w:tblStyle w:val="7"/>
        <w:tblW w:w="920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9200" w:type="dxa"/>
            <w:vAlign w:val="center"/>
          </w:tcPr>
          <w:p>
            <w:pPr>
              <w:pStyle w:val="41"/>
              <w:pageBreakBefore w:val="0"/>
              <w:tabs>
                <w:tab w:val="left" w:pos="3163"/>
              </w:tabs>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b/>
                <w:bCs/>
                <w:color w:val="000000"/>
                <w:szCs w:val="32"/>
              </w:rPr>
              <w:t>专栏6 “十三五”时期矿山安全基础建设重点工程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66" w:hRule="atLeast"/>
          <w:jc w:val="center"/>
        </w:trPr>
        <w:tc>
          <w:tcPr>
            <w:tcW w:w="9200" w:type="dxa"/>
            <w:vAlign w:val="center"/>
          </w:tcPr>
          <w:p>
            <w:pPr>
              <w:pStyle w:val="41"/>
              <w:pageBreakBefore w:val="0"/>
              <w:numPr>
                <w:ilvl w:val="0"/>
                <w:numId w:val="7"/>
              </w:numPr>
              <w:shd w:val="clear"/>
              <w:tabs>
                <w:tab w:val="left" w:pos="3163"/>
              </w:tabs>
              <w:kinsoku/>
              <w:wordWrap/>
              <w:overflowPunct/>
              <w:bidi w:val="0"/>
              <w:snapToGrid/>
              <w:spacing w:line="560" w:lineRule="exact"/>
              <w:textAlignment w:val="auto"/>
              <w:rPr>
                <w:rFonts w:hint="eastAsia" w:ascii="仿宋_GB2312" w:hAnsi="仿宋" w:cs="仿宋"/>
                <w:color w:val="000000"/>
                <w:szCs w:val="32"/>
              </w:rPr>
            </w:pPr>
            <w:r>
              <w:rPr>
                <w:rFonts w:hint="eastAsia" w:ascii="仿宋_GB2312" w:hAnsi="仿宋" w:cs="仿宋"/>
                <w:b/>
                <w:bCs/>
                <w:color w:val="000000"/>
                <w:szCs w:val="32"/>
              </w:rPr>
              <w:t>实施“机械化换人、自动化减人”科技强安行动。</w:t>
            </w:r>
            <w:r>
              <w:rPr>
                <w:rFonts w:hint="eastAsia" w:ascii="仿宋_GB2312" w:hAnsi="仿宋" w:cs="仿宋"/>
                <w:color w:val="000000"/>
                <w:szCs w:val="32"/>
              </w:rPr>
              <w:t>以机械化生产替换人工作业、以自动化控制减少人为操作，重点推进采矿机械化、自动化，掘进支护机械化，运输系统无人化、机械化，井下大型固定设施电子值守系统。高危岗位作业人员到2018年减少30%，到2020年减少35%。</w:t>
            </w:r>
          </w:p>
          <w:p>
            <w:pPr>
              <w:pStyle w:val="41"/>
              <w:pageBreakBefore w:val="0"/>
              <w:numPr>
                <w:ilvl w:val="0"/>
                <w:numId w:val="7"/>
              </w:numPr>
              <w:shd w:val="clear"/>
              <w:tabs>
                <w:tab w:val="left" w:pos="3163"/>
              </w:tabs>
              <w:kinsoku/>
              <w:wordWrap/>
              <w:overflowPunct/>
              <w:bidi w:val="0"/>
              <w:snapToGrid/>
              <w:spacing w:line="560" w:lineRule="exact"/>
              <w:textAlignment w:val="auto"/>
              <w:rPr>
                <w:rFonts w:hint="eastAsia" w:ascii="仿宋_GB2312" w:hAnsi="仿宋" w:cs="仿宋"/>
                <w:color w:val="000000"/>
                <w:szCs w:val="32"/>
              </w:rPr>
            </w:pPr>
            <w:r>
              <w:rPr>
                <w:rFonts w:hint="eastAsia" w:ascii="仿宋_GB2312" w:hAnsi="仿宋" w:cs="仿宋"/>
                <w:b/>
                <w:bCs/>
                <w:color w:val="000000"/>
                <w:szCs w:val="32"/>
              </w:rPr>
              <w:t>应用中深孔爆破技术</w:t>
            </w:r>
            <w:r>
              <w:rPr>
                <w:rFonts w:hint="eastAsia" w:ascii="仿宋_GB2312" w:hAnsi="仿宋" w:cs="仿宋"/>
                <w:color w:val="000000"/>
                <w:szCs w:val="32"/>
              </w:rPr>
              <w:t>。重点在小型露天采石场矿山推广应用中深孔爆破技术，到2018年达到90%，到2020年达到100%。</w:t>
            </w:r>
          </w:p>
          <w:p>
            <w:pPr>
              <w:pStyle w:val="41"/>
              <w:pageBreakBefore w:val="0"/>
              <w:numPr>
                <w:ilvl w:val="0"/>
                <w:numId w:val="7"/>
              </w:numPr>
              <w:shd w:val="clear"/>
              <w:tabs>
                <w:tab w:val="left" w:pos="3163"/>
              </w:tabs>
              <w:kinsoku/>
              <w:wordWrap/>
              <w:overflowPunct/>
              <w:bidi w:val="0"/>
              <w:snapToGrid/>
              <w:spacing w:line="560" w:lineRule="exact"/>
              <w:textAlignment w:val="auto"/>
              <w:rPr>
                <w:rFonts w:hint="eastAsia" w:ascii="仿宋_GB2312" w:hAnsi="仿宋" w:cs="仿宋"/>
                <w:color w:val="000000"/>
                <w:szCs w:val="32"/>
              </w:rPr>
            </w:pPr>
            <w:r>
              <w:rPr>
                <w:rFonts w:hint="eastAsia" w:ascii="仿宋_GB2312" w:hAnsi="仿宋" w:cs="仿宋"/>
                <w:color w:val="000000"/>
                <w:szCs w:val="32"/>
              </w:rPr>
              <w:t>边坡高度200 米以上露天矿山高陡边坡在线监测和堆置高度200 米以上排土场在线监测达100%。</w:t>
            </w:r>
          </w:p>
        </w:tc>
      </w:tr>
    </w:tbl>
    <w:p>
      <w:pPr>
        <w:pStyle w:val="15"/>
        <w:pageBreakBefore w:val="0"/>
        <w:kinsoku/>
        <w:wordWrap/>
        <w:overflowPunct/>
        <w:bidi w:val="0"/>
        <w:snapToGrid/>
        <w:spacing w:line="560" w:lineRule="exact"/>
        <w:textAlignment w:val="auto"/>
        <w:rPr>
          <w:rFonts w:hint="eastAsia" w:ascii="仿宋" w:hAnsi="仿宋" w:eastAsia="仿宋"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Cs w:val="0"/>
          <w:color w:val="000000"/>
        </w:rPr>
      </w:pPr>
      <w:bookmarkStart w:id="127" w:name="_Toc22109"/>
      <w:r>
        <w:rPr>
          <w:rStyle w:val="51"/>
          <w:rFonts w:hint="eastAsia" w:ascii="黑体" w:hAnsi="黑体" w:eastAsia="黑体" w:cs="仿宋"/>
          <w:b w:val="0"/>
          <w:bCs/>
          <w:color w:val="000000"/>
        </w:rPr>
        <w:t>第六节</w:t>
      </w:r>
      <w:r>
        <w:rPr>
          <w:rFonts w:hint="eastAsia" w:ascii="黑体" w:hAnsi="黑体" w:eastAsia="黑体" w:cs="仿宋"/>
          <w:b w:val="0"/>
          <w:bCs w:val="0"/>
          <w:color w:val="000000"/>
        </w:rPr>
        <w:t xml:space="preserve"> </w:t>
      </w:r>
      <w:r>
        <w:rPr>
          <w:rStyle w:val="51"/>
          <w:rFonts w:hint="eastAsia" w:ascii="黑体" w:hAnsi="黑体" w:eastAsia="黑体" w:cs="仿宋"/>
          <w:b w:val="0"/>
          <w:bCs/>
          <w:color w:val="000000"/>
        </w:rPr>
        <w:t>构建建筑施工安全保障体系</w:t>
      </w:r>
      <w:bookmarkEnd w:id="127"/>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r>
        <w:rPr>
          <w:rFonts w:hint="eastAsia" w:ascii="仿宋_GB2312" w:hAnsi="仿宋" w:eastAsia="仿宋_GB2312" w:cs="仿宋"/>
          <w:color w:val="000000"/>
          <w:sz w:val="32"/>
          <w:szCs w:val="32"/>
        </w:rPr>
        <w:t>逐步构建以工程参建主体各负其责为核心，以政府执法管理、行业技术管理、社会评价管理为监管手段的建设工程施工安全保证体系，完善建设各方主体安全责任制。建立建筑施工生产安全事故企业主要负责人、项目负责人、监理单位总监理工程师和专职安全生产管理人员强制培训制度。制定完善适合装配化施工特点的安全管理及监督检查标准。开展工程安全管理标准化达标活动，推行安全行为标准化和安全防护控制标准化。加强全市房屋市政工程安全管理体系建设，完善工程安全监督管理制度，探讨和尝试向执法型、双随机抽查型、科技型监督模式转变。加强自建、私建、扩建等领域安全专项治理。制定“互联网+安全管理”相关行动计划，利用全省联网的施工安全诚信行为平台、工程安全监督、安全生产标准化等管理系统，初步实现</w:t>
      </w:r>
      <w:r>
        <w:rPr>
          <w:rFonts w:hint="eastAsia" w:ascii="仿宋_GB2312" w:hAnsi="仿宋" w:eastAsia="仿宋_GB2312" w:cs="仿宋"/>
          <w:color w:val="000000" w:themeColor="text1"/>
          <w:sz w:val="32"/>
          <w:szCs w:val="32"/>
          <w14:textFill>
            <w14:solidFill>
              <w14:schemeClr w14:val="tx1"/>
            </w14:solidFill>
          </w14:textFill>
        </w:rPr>
        <w:t>全</w:t>
      </w:r>
      <w:r>
        <w:rPr>
          <w:rFonts w:hint="eastAsia" w:ascii="仿宋_GB2312" w:hAnsi="仿宋" w:eastAsia="仿宋_GB2312" w:cs="仿宋"/>
          <w:color w:val="000000" w:themeColor="text1"/>
          <w:sz w:val="32"/>
          <w:szCs w:val="32"/>
          <w:lang w:eastAsia="zh-CN"/>
          <w14:textFill>
            <w14:solidFill>
              <w14:schemeClr w14:val="tx1"/>
            </w14:solidFill>
          </w14:textFill>
        </w:rPr>
        <w:t>区</w:t>
      </w:r>
      <w:r>
        <w:rPr>
          <w:rFonts w:hint="eastAsia" w:ascii="仿宋_GB2312" w:hAnsi="仿宋" w:eastAsia="仿宋_GB2312" w:cs="仿宋"/>
          <w:color w:val="000000"/>
          <w:sz w:val="32"/>
          <w:szCs w:val="32"/>
        </w:rPr>
        <w:t>建筑施工安全监管“数据一个库、监管一张网、管理一条线”的信息化监管目标。</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p>
      <w:pPr>
        <w:pStyle w:val="15"/>
        <w:pageBreakBefore w:val="0"/>
        <w:kinsoku/>
        <w:wordWrap/>
        <w:overflowPunct/>
        <w:bidi w:val="0"/>
        <w:snapToGrid/>
        <w:spacing w:line="560" w:lineRule="exact"/>
        <w:jc w:val="center"/>
        <w:textAlignment w:val="auto"/>
        <w:outlineLvl w:val="1"/>
        <w:rPr>
          <w:rFonts w:hint="eastAsia" w:ascii="黑体" w:hAnsi="黑体" w:eastAsia="黑体" w:cs="仿宋"/>
          <w:b/>
          <w:bCs/>
          <w:color w:val="000000"/>
        </w:rPr>
      </w:pPr>
      <w:bookmarkStart w:id="128" w:name="_Toc1616"/>
      <w:bookmarkStart w:id="129" w:name="_Toc25056"/>
      <w:bookmarkStart w:id="130" w:name="_Toc31541"/>
      <w:bookmarkStart w:id="131" w:name="_Toc14342"/>
      <w:bookmarkStart w:id="132" w:name="_Toc24859"/>
      <w:bookmarkStart w:id="133" w:name="_Toc32442"/>
      <w:bookmarkStart w:id="134" w:name="_Toc28045"/>
      <w:bookmarkStart w:id="135" w:name="_Toc1869"/>
      <w:bookmarkStart w:id="136" w:name="_Toc28864"/>
      <w:bookmarkStart w:id="137" w:name="_Toc28729"/>
      <w:bookmarkStart w:id="138" w:name="_Toc6622"/>
      <w:bookmarkStart w:id="139" w:name="_Toc1671"/>
      <w:bookmarkStart w:id="140" w:name="_Toc20661"/>
      <w:r>
        <w:rPr>
          <w:rStyle w:val="51"/>
          <w:rFonts w:hint="eastAsia" w:ascii="黑体" w:hAnsi="黑体" w:eastAsia="黑体" w:cs="仿宋"/>
          <w:b w:val="0"/>
          <w:bCs w:val="0"/>
          <w:color w:val="000000"/>
        </w:rPr>
        <w:t>第七节  提升民爆行业安全水平</w:t>
      </w:r>
      <w:bookmarkEnd w:id="128"/>
      <w:bookmarkEnd w:id="129"/>
      <w:bookmarkEnd w:id="130"/>
      <w:bookmarkEnd w:id="131"/>
      <w:bookmarkEnd w:id="132"/>
      <w:bookmarkEnd w:id="133"/>
      <w:bookmarkEnd w:id="134"/>
      <w:bookmarkEnd w:id="135"/>
      <w:bookmarkEnd w:id="136"/>
      <w:bookmarkEnd w:id="137"/>
      <w:bookmarkEnd w:id="138"/>
      <w:bookmarkEnd w:id="139"/>
      <w:bookmarkEnd w:id="140"/>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lang w:val="zh-TW"/>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lang w:val="zh-TW" w:eastAsia="zh-TW"/>
        </w:rPr>
      </w:pPr>
      <w:r>
        <w:rPr>
          <w:rFonts w:hint="eastAsia" w:ascii="仿宋_GB2312" w:hAnsi="仿宋" w:eastAsia="仿宋_GB2312" w:cs="仿宋"/>
          <w:color w:val="000000"/>
          <w:sz w:val="32"/>
          <w:szCs w:val="32"/>
          <w:lang w:val="zh-TW"/>
        </w:rPr>
        <w:t>建立完善</w:t>
      </w:r>
      <w:r>
        <w:rPr>
          <w:rFonts w:hint="eastAsia" w:ascii="仿宋_GB2312" w:hAnsi="仿宋" w:eastAsia="仿宋_GB2312" w:cs="仿宋"/>
          <w:color w:val="000000"/>
          <w:sz w:val="32"/>
          <w:szCs w:val="32"/>
          <w:lang w:val="zh-TW" w:eastAsia="zh-TW"/>
        </w:rPr>
        <w:t>民爆行业</w:t>
      </w:r>
      <w:r>
        <w:rPr>
          <w:rFonts w:hint="eastAsia" w:ascii="仿宋_GB2312" w:hAnsi="仿宋" w:eastAsia="仿宋_GB2312" w:cs="仿宋"/>
          <w:color w:val="000000"/>
          <w:sz w:val="32"/>
          <w:szCs w:val="32"/>
          <w:lang w:val="zh-TW"/>
        </w:rPr>
        <w:t>安全生产三级监管体系。实行</w:t>
      </w:r>
      <w:r>
        <w:rPr>
          <w:rFonts w:hint="eastAsia" w:ascii="仿宋_GB2312" w:hAnsi="仿宋" w:eastAsia="仿宋_GB2312" w:cs="仿宋"/>
          <w:color w:val="000000"/>
          <w:sz w:val="32"/>
          <w:szCs w:val="32"/>
          <w:lang w:val="zh-TW" w:eastAsia="zh-TW"/>
        </w:rPr>
        <w:t>民爆行业安全生产重大隐患整改挂牌督办制度、民爆企业隐患整改约谈制度和安全生产不良信用黑名单制度</w:t>
      </w:r>
      <w:r>
        <w:rPr>
          <w:rFonts w:hint="eastAsia" w:ascii="仿宋_GB2312" w:hAnsi="仿宋" w:eastAsia="仿宋_GB2312" w:cs="仿宋"/>
          <w:color w:val="000000"/>
          <w:sz w:val="32"/>
          <w:szCs w:val="32"/>
          <w:lang w:val="zh-TW"/>
        </w:rPr>
        <w:t>。以生产企业为依托，推动建设区域性安全生产应急救援基地。优化产业布局，</w:t>
      </w:r>
      <w:r>
        <w:rPr>
          <w:rFonts w:hint="eastAsia" w:ascii="仿宋_GB2312" w:hAnsi="仿宋" w:eastAsia="仿宋_GB2312" w:cs="仿宋"/>
          <w:color w:val="000000"/>
          <w:sz w:val="32"/>
          <w:szCs w:val="32"/>
          <w:lang w:val="zh-TW" w:eastAsia="zh-TW"/>
        </w:rPr>
        <w:t>鼓励企业集中建设危险品储存仓库区</w:t>
      </w:r>
      <w:r>
        <w:rPr>
          <w:rFonts w:hint="eastAsia" w:ascii="仿宋_GB2312" w:hAnsi="仿宋" w:eastAsia="仿宋_GB2312" w:cs="仿宋"/>
          <w:color w:val="000000"/>
          <w:sz w:val="32"/>
          <w:szCs w:val="32"/>
          <w:lang w:val="zh-TW"/>
        </w:rPr>
        <w:t>，</w:t>
      </w:r>
      <w:r>
        <w:rPr>
          <w:rFonts w:hint="eastAsia" w:ascii="仿宋_GB2312" w:hAnsi="仿宋" w:eastAsia="仿宋_GB2312" w:cs="仿宋"/>
          <w:color w:val="000000"/>
          <w:sz w:val="32"/>
          <w:szCs w:val="32"/>
          <w:lang w:val="zh-TW" w:eastAsia="zh-TW"/>
        </w:rPr>
        <w:t>推动</w:t>
      </w:r>
      <w:r>
        <w:rPr>
          <w:rFonts w:hint="eastAsia" w:ascii="仿宋_GB2312" w:hAnsi="仿宋" w:eastAsia="仿宋_GB2312" w:cs="仿宋"/>
          <w:color w:val="000000"/>
          <w:sz w:val="32"/>
          <w:szCs w:val="32"/>
          <w:u w:val="none" w:color="FF0000"/>
          <w:lang w:val="zh-TW" w:eastAsia="zh-TW"/>
        </w:rPr>
        <w:t>不适宜民爆发展区域</w:t>
      </w:r>
      <w:r>
        <w:rPr>
          <w:rFonts w:hint="eastAsia" w:ascii="仿宋_GB2312" w:hAnsi="仿宋" w:eastAsia="仿宋_GB2312" w:cs="仿宋"/>
          <w:color w:val="000000"/>
          <w:sz w:val="32"/>
          <w:szCs w:val="32"/>
          <w:u w:val="none" w:color="FF0000"/>
          <w:lang w:val="zh-TW"/>
        </w:rPr>
        <w:t>的企业及销售</w:t>
      </w:r>
      <w:r>
        <w:rPr>
          <w:rFonts w:hint="eastAsia" w:ascii="仿宋_GB2312" w:hAnsi="仿宋" w:eastAsia="仿宋_GB2312" w:cs="仿宋"/>
          <w:color w:val="000000"/>
          <w:sz w:val="32"/>
          <w:szCs w:val="32"/>
          <w:u w:val="none" w:color="FF0000"/>
          <w:lang w:val="zh-TW" w:eastAsia="zh-TW"/>
        </w:rPr>
        <w:t>点</w:t>
      </w:r>
      <w:r>
        <w:rPr>
          <w:rFonts w:hint="eastAsia" w:ascii="仿宋_GB2312" w:hAnsi="仿宋" w:eastAsia="仿宋_GB2312" w:cs="仿宋"/>
          <w:color w:val="000000"/>
          <w:sz w:val="32"/>
          <w:szCs w:val="32"/>
          <w:lang w:val="zh-TW" w:eastAsia="zh-TW"/>
        </w:rPr>
        <w:t>退出市场，淘汰外部安全距离不合格的危险源（点）</w:t>
      </w:r>
      <w:r>
        <w:rPr>
          <w:rFonts w:hint="eastAsia" w:ascii="仿宋_GB2312" w:hAnsi="仿宋" w:eastAsia="仿宋_GB2312" w:cs="仿宋"/>
          <w:color w:val="000000"/>
          <w:sz w:val="32"/>
          <w:szCs w:val="32"/>
          <w:lang w:val="zh-TW"/>
        </w:rPr>
        <w:t>，减少危险源（点）。推动产品结构升级，推进生产过程信息化、智能化，加大机器人应用，实现</w:t>
      </w:r>
      <w:r>
        <w:rPr>
          <w:rFonts w:hint="eastAsia" w:ascii="仿宋_GB2312" w:hAnsi="仿宋" w:eastAsia="仿宋_GB2312" w:cs="仿宋"/>
          <w:color w:val="000000"/>
          <w:sz w:val="32"/>
          <w:szCs w:val="32"/>
          <w:lang w:val="zh-TW" w:eastAsia="zh-TW"/>
        </w:rPr>
        <w:t>危险工序人机隔离或远程操作。</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lang w:val="zh-TW" w:eastAsia="zh-TW"/>
        </w:rPr>
      </w:pPr>
    </w:p>
    <w:tbl>
      <w:tblPr>
        <w:tblStyle w:val="7"/>
        <w:tblW w:w="892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4890"/>
        <w:gridCol w:w="1530"/>
        <w:gridCol w:w="15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4" w:hRule="atLeast"/>
        </w:trPr>
        <w:tc>
          <w:tcPr>
            <w:tcW w:w="8925" w:type="dxa"/>
            <w:gridSpan w:val="4"/>
            <w:vAlign w:val="top"/>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 xml:space="preserve"> 专栏7  民爆行业“十三五”时期主要指标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30" w:hRule="atLeast"/>
        </w:trPr>
        <w:tc>
          <w:tcPr>
            <w:tcW w:w="912" w:type="dxa"/>
            <w:vMerge w:val="restart"/>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序号</w:t>
            </w:r>
          </w:p>
        </w:tc>
        <w:tc>
          <w:tcPr>
            <w:tcW w:w="4890" w:type="dxa"/>
            <w:vMerge w:val="restart"/>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指标名称</w:t>
            </w:r>
          </w:p>
        </w:tc>
        <w:tc>
          <w:tcPr>
            <w:tcW w:w="3123" w:type="dxa"/>
            <w:gridSpan w:val="2"/>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数据对比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45" w:hRule="atLeast"/>
        </w:trPr>
        <w:tc>
          <w:tcPr>
            <w:tcW w:w="912" w:type="dxa"/>
            <w:vMerge w:val="continue"/>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p>
        </w:tc>
        <w:tc>
          <w:tcPr>
            <w:tcW w:w="4890" w:type="dxa"/>
            <w:vMerge w:val="continue"/>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p>
        </w:tc>
        <w:tc>
          <w:tcPr>
            <w:tcW w:w="1530"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2015年</w:t>
            </w:r>
          </w:p>
        </w:tc>
        <w:tc>
          <w:tcPr>
            <w:tcW w:w="1593"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2020年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12"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w:t>
            </w:r>
          </w:p>
        </w:tc>
        <w:tc>
          <w:tcPr>
            <w:tcW w:w="4890" w:type="dxa"/>
            <w:vAlign w:val="center"/>
          </w:tcPr>
          <w:p>
            <w:pPr>
              <w:pStyle w:val="15"/>
              <w:pageBreakBefore w:val="0"/>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散装（含大包装）炸药比例</w:t>
            </w:r>
          </w:p>
        </w:tc>
        <w:tc>
          <w:tcPr>
            <w:tcW w:w="1530"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w:t>
            </w:r>
          </w:p>
        </w:tc>
        <w:tc>
          <w:tcPr>
            <w:tcW w:w="1593"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12"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w:t>
            </w:r>
          </w:p>
        </w:tc>
        <w:tc>
          <w:tcPr>
            <w:tcW w:w="4890" w:type="dxa"/>
            <w:vAlign w:val="center"/>
          </w:tcPr>
          <w:p>
            <w:pPr>
              <w:pStyle w:val="15"/>
              <w:pageBreakBefore w:val="0"/>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专业技术人员比例</w:t>
            </w:r>
          </w:p>
        </w:tc>
        <w:tc>
          <w:tcPr>
            <w:tcW w:w="1530"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15%</w:t>
            </w:r>
          </w:p>
        </w:tc>
        <w:tc>
          <w:tcPr>
            <w:tcW w:w="1593"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12"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3</w:t>
            </w:r>
          </w:p>
        </w:tc>
        <w:tc>
          <w:tcPr>
            <w:tcW w:w="4890" w:type="dxa"/>
            <w:vAlign w:val="center"/>
          </w:tcPr>
          <w:p>
            <w:pPr>
              <w:pStyle w:val="15"/>
              <w:pageBreakBefore w:val="0"/>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民爆生产企业R&amp;D比例</w:t>
            </w:r>
          </w:p>
        </w:tc>
        <w:tc>
          <w:tcPr>
            <w:tcW w:w="1530"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1.3%</w:t>
            </w:r>
          </w:p>
        </w:tc>
        <w:tc>
          <w:tcPr>
            <w:tcW w:w="1593"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0" w:hRule="atLeast"/>
        </w:trPr>
        <w:tc>
          <w:tcPr>
            <w:tcW w:w="912"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4</w:t>
            </w:r>
          </w:p>
        </w:tc>
        <w:tc>
          <w:tcPr>
            <w:tcW w:w="4890" w:type="dxa"/>
            <w:vAlign w:val="center"/>
          </w:tcPr>
          <w:p>
            <w:pPr>
              <w:pStyle w:val="15"/>
              <w:pageBreakBefore w:val="0"/>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工业炸药危险等级为1.1级的工房现场操作人员</w:t>
            </w:r>
          </w:p>
        </w:tc>
        <w:tc>
          <w:tcPr>
            <w:tcW w:w="1530"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9</w:t>
            </w:r>
          </w:p>
        </w:tc>
        <w:tc>
          <w:tcPr>
            <w:tcW w:w="1593"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≤5</w:t>
            </w:r>
          </w:p>
        </w:tc>
      </w:tr>
    </w:tbl>
    <w:p>
      <w:pPr>
        <w:pStyle w:val="23"/>
        <w:pageBreakBefore w:val="0"/>
        <w:kinsoku/>
        <w:wordWrap/>
        <w:overflowPunct/>
        <w:bidi w:val="0"/>
        <w:snapToGrid/>
        <w:spacing w:line="560" w:lineRule="exact"/>
        <w:ind w:firstLine="0" w:firstLineChars="0"/>
        <w:jc w:val="center"/>
        <w:textAlignment w:val="auto"/>
        <w:rPr>
          <w:rFonts w:hint="eastAsia" w:ascii="仿宋" w:hAnsi="仿宋" w:eastAsia="仿宋" w:cs="仿宋"/>
          <w:color w:val="000000"/>
        </w:rPr>
      </w:pPr>
      <w:bookmarkStart w:id="141" w:name="_Toc12552"/>
      <w:bookmarkStart w:id="142" w:name="_Toc29107"/>
      <w:bookmarkStart w:id="143" w:name="_Toc23564"/>
      <w:bookmarkStart w:id="144" w:name="_Toc28696"/>
      <w:bookmarkStart w:id="145" w:name="_Toc23605"/>
      <w:bookmarkStart w:id="146" w:name="_Toc2047"/>
      <w:bookmarkStart w:id="147" w:name="_Toc14937"/>
      <w:bookmarkStart w:id="148" w:name="_Toc12428"/>
      <w:bookmarkStart w:id="149" w:name="_Toc31008"/>
      <w:bookmarkStart w:id="150" w:name="_Toc8604"/>
      <w:bookmarkStart w:id="151" w:name="_Toc23892"/>
      <w:bookmarkStart w:id="152" w:name="_Toc19270"/>
    </w:p>
    <w:bookmarkEnd w:id="141"/>
    <w:bookmarkEnd w:id="142"/>
    <w:bookmarkEnd w:id="143"/>
    <w:bookmarkEnd w:id="144"/>
    <w:bookmarkEnd w:id="145"/>
    <w:bookmarkEnd w:id="146"/>
    <w:bookmarkEnd w:id="147"/>
    <w:bookmarkEnd w:id="148"/>
    <w:bookmarkEnd w:id="149"/>
    <w:bookmarkEnd w:id="150"/>
    <w:bookmarkEnd w:id="151"/>
    <w:bookmarkEnd w:id="152"/>
    <w:p>
      <w:pPr>
        <w:pStyle w:val="23"/>
        <w:pageBreakBefore w:val="0"/>
        <w:kinsoku/>
        <w:wordWrap/>
        <w:overflowPunct/>
        <w:bidi w:val="0"/>
        <w:snapToGrid/>
        <w:spacing w:line="560" w:lineRule="exact"/>
        <w:ind w:firstLine="0" w:firstLineChars="0"/>
        <w:jc w:val="center"/>
        <w:textAlignment w:val="auto"/>
        <w:rPr>
          <w:rFonts w:hint="eastAsia" w:ascii="仿宋" w:hAnsi="仿宋" w:eastAsia="仿宋" w:cs="仿宋"/>
          <w:color w:val="000000"/>
        </w:rPr>
      </w:pPr>
      <w:bookmarkStart w:id="153" w:name="_Toc4043"/>
      <w:bookmarkStart w:id="154" w:name="_Toc24980"/>
      <w:bookmarkStart w:id="155" w:name="_Toc26903"/>
      <w:bookmarkStart w:id="156" w:name="_Toc6508"/>
      <w:bookmarkStart w:id="157" w:name="_Toc30808"/>
      <w:bookmarkStart w:id="158" w:name="_Toc18305"/>
      <w:bookmarkStart w:id="159" w:name="_Toc24339"/>
      <w:bookmarkStart w:id="160" w:name="_Toc29720"/>
      <w:bookmarkStart w:id="161" w:name="_Toc30879"/>
      <w:bookmarkStart w:id="162" w:name="_Toc15198"/>
      <w:bookmarkStart w:id="163" w:name="_Toc29113"/>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64" w:name="_Toc16502"/>
      <w:bookmarkStart w:id="165" w:name="_Toc28130"/>
      <w:r>
        <w:rPr>
          <w:rFonts w:hint="eastAsia" w:ascii="黑体" w:hAnsi="黑体" w:eastAsia="黑体" w:cs="仿宋"/>
          <w:b w:val="0"/>
          <w:color w:val="000000"/>
        </w:rPr>
        <w:t>第</w:t>
      </w:r>
      <w:r>
        <w:rPr>
          <w:rFonts w:hint="eastAsia" w:ascii="黑体" w:hAnsi="黑体" w:eastAsia="黑体" w:cs="仿宋"/>
          <w:b w:val="0"/>
          <w:color w:val="000000"/>
          <w:lang w:val="en-US" w:eastAsia="zh-CN"/>
        </w:rPr>
        <w:t>八</w:t>
      </w:r>
      <w:r>
        <w:rPr>
          <w:rFonts w:hint="eastAsia" w:ascii="黑体" w:hAnsi="黑体" w:eastAsia="黑体" w:cs="仿宋"/>
          <w:b w:val="0"/>
          <w:color w:val="000000"/>
        </w:rPr>
        <w:t>节  深化工作场所职业病危害防治</w:t>
      </w:r>
      <w:bookmarkEnd w:id="153"/>
      <w:bookmarkEnd w:id="154"/>
      <w:bookmarkEnd w:id="155"/>
      <w:bookmarkEnd w:id="156"/>
      <w:bookmarkEnd w:id="157"/>
      <w:bookmarkEnd w:id="158"/>
      <w:bookmarkEnd w:id="159"/>
      <w:bookmarkEnd w:id="160"/>
      <w:bookmarkEnd w:id="161"/>
      <w:bookmarkEnd w:id="162"/>
      <w:bookmarkEnd w:id="163"/>
      <w:bookmarkEnd w:id="164"/>
      <w:bookmarkEnd w:id="165"/>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themeColor="text1"/>
          <w:sz w:val="32"/>
          <w:szCs w:val="32"/>
          <w14:textFill>
            <w14:solidFill>
              <w14:schemeClr w14:val="tx1"/>
            </w14:solidFill>
          </w14:textFill>
        </w:rPr>
        <w:t>各</w:t>
      </w:r>
      <w:r>
        <w:rPr>
          <w:rFonts w:hint="eastAsia" w:ascii="仿宋_GB2312" w:hAnsi="仿宋" w:eastAsia="仿宋_GB2312" w:cs="仿宋"/>
          <w:color w:val="000000" w:themeColor="text1"/>
          <w:sz w:val="32"/>
          <w:szCs w:val="32"/>
          <w:lang w:eastAsia="zh-CN"/>
          <w14:textFill>
            <w14:solidFill>
              <w14:schemeClr w14:val="tx1"/>
            </w14:solidFill>
          </w14:textFill>
        </w:rPr>
        <w:t>街镇（场）</w:t>
      </w:r>
      <w:r>
        <w:rPr>
          <w:rFonts w:hint="eastAsia" w:ascii="仿宋_GB2312" w:hAnsi="仿宋" w:eastAsia="仿宋_GB2312" w:cs="仿宋"/>
          <w:color w:val="000000" w:themeColor="text1"/>
          <w:sz w:val="32"/>
          <w:szCs w:val="32"/>
          <w14:textFill>
            <w14:solidFill>
              <w14:schemeClr w14:val="tx1"/>
            </w14:solidFill>
          </w14:textFill>
        </w:rPr>
        <w:t>、</w:t>
      </w:r>
      <w:r>
        <w:rPr>
          <w:rFonts w:hint="eastAsia" w:ascii="仿宋_GB2312" w:hAnsi="仿宋" w:eastAsia="仿宋_GB2312" w:cs="仿宋"/>
          <w:color w:val="000000"/>
          <w:sz w:val="32"/>
          <w:szCs w:val="32"/>
        </w:rPr>
        <w:t>各部门推进建立安全生产与职业卫生工作“一体化”执法机制。推行职业卫生分类分级监督管理，健全职业病危害因素监督监测制度。推动生产经营单位落实职业病防治主体责任，加强职业病危害项目申报、工作场所职业病危害因素监测、劳动者职业健康监护工作。推进用人单位加强工作场所职业病防护设施建设，设置职业病危害警示标识和作业岗位告知卡。加强生产经营单位主要负责人和职业卫生管理人员的职业卫生培训工作。深化重点行业领域职业病危害整治，加强高危粉尘和高毒物品的专项治理工作。大力发展和应用职业病危害防治新技术、新工艺、新材料、新设备。建立完善职业卫生执法监察和联合执法机制，严厉查处违法违规行为。</w:t>
      </w:r>
      <w:bookmarkStart w:id="166" w:name="_Toc18419"/>
      <w:bookmarkStart w:id="167" w:name="_Toc4897"/>
      <w:bookmarkStart w:id="168" w:name="_Toc19314"/>
      <w:bookmarkStart w:id="169" w:name="_Toc6949"/>
      <w:bookmarkStart w:id="170" w:name="_Toc10814"/>
      <w:bookmarkStart w:id="171" w:name="_Toc20076"/>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tbl>
      <w:tblPr>
        <w:tblStyle w:val="7"/>
        <w:tblW w:w="8783"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04" w:hRule="atLeast"/>
          <w:jc w:val="center"/>
        </w:trPr>
        <w:tc>
          <w:tcPr>
            <w:tcW w:w="8783" w:type="dxa"/>
            <w:vAlign w:val="top"/>
          </w:tcPr>
          <w:p>
            <w:pPr>
              <w:pStyle w:val="15"/>
              <w:pageBreakBefore w:val="0"/>
              <w:tabs>
                <w:tab w:val="left" w:pos="3163"/>
              </w:tabs>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专栏9 “十三五”时期工作场所职业卫生监管工作重点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094" w:hRule="atLeast"/>
          <w:jc w:val="center"/>
        </w:trPr>
        <w:tc>
          <w:tcPr>
            <w:tcW w:w="8783" w:type="dxa"/>
            <w:vAlign w:val="top"/>
          </w:tcPr>
          <w:p>
            <w:pPr>
              <w:pStyle w:val="15"/>
              <w:pageBreakBefore w:val="0"/>
              <w:tabs>
                <w:tab w:val="left" w:pos="3163"/>
              </w:tabs>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1.加强监管制度建设。</w:t>
            </w:r>
            <w:r>
              <w:rPr>
                <w:rFonts w:hint="eastAsia" w:ascii="仿宋_GB2312" w:hAnsi="仿宋" w:eastAsia="仿宋_GB2312" w:cs="仿宋"/>
                <w:color w:val="000000"/>
                <w:sz w:val="32"/>
                <w:szCs w:val="32"/>
              </w:rPr>
              <w:t>推进建立全</w:t>
            </w:r>
            <w:r>
              <w:rPr>
                <w:rFonts w:hint="eastAsia" w:ascii="仿宋_GB2312" w:hAnsi="仿宋" w:eastAsia="仿宋_GB2312" w:cs="仿宋"/>
                <w:color w:val="000000"/>
                <w:sz w:val="32"/>
                <w:szCs w:val="32"/>
                <w:lang w:val="en-US" w:eastAsia="zh-CN"/>
              </w:rPr>
              <w:t>区</w:t>
            </w:r>
            <w:r>
              <w:rPr>
                <w:rFonts w:hint="eastAsia" w:ascii="仿宋_GB2312" w:hAnsi="仿宋" w:eastAsia="仿宋_GB2312" w:cs="仿宋"/>
                <w:color w:val="000000"/>
                <w:sz w:val="32"/>
                <w:szCs w:val="32"/>
              </w:rPr>
              <w:t>安全生产与职业卫生工作“一体化”执法机制。推行职业卫生分类分级监督管理，健全职业病危害因素监督监测制度。</w:t>
            </w:r>
          </w:p>
          <w:p>
            <w:pPr>
              <w:pStyle w:val="15"/>
              <w:pageBreakBefore w:val="0"/>
              <w:tabs>
                <w:tab w:val="left" w:pos="3163"/>
              </w:tabs>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2.推动企业主体责任落实。</w:t>
            </w:r>
            <w:r>
              <w:rPr>
                <w:rFonts w:hint="eastAsia" w:ascii="仿宋_GB2312" w:hAnsi="仿宋" w:eastAsia="仿宋_GB2312" w:cs="仿宋"/>
                <w:color w:val="000000"/>
                <w:sz w:val="32"/>
                <w:szCs w:val="32"/>
              </w:rPr>
              <w:t>推动生产经营单位落实职业病防治主体责任，用人单位职业病危害防治水平明显提高。到2020年，</w:t>
            </w:r>
            <w:r>
              <w:rPr>
                <w:rFonts w:hint="eastAsia" w:ascii="仿宋_GB2312" w:hAnsi="仿宋" w:eastAsia="仿宋_GB2312" w:cs="仿宋"/>
                <w:color w:val="000000"/>
                <w:sz w:val="32"/>
                <w:szCs w:val="32"/>
                <w:shd w:val="clear"/>
              </w:rPr>
              <w:t>全</w:t>
            </w:r>
            <w:r>
              <w:rPr>
                <w:rFonts w:hint="eastAsia" w:ascii="仿宋_GB2312" w:hAnsi="仿宋" w:eastAsia="仿宋_GB2312" w:cs="仿宋"/>
                <w:color w:val="000000"/>
                <w:sz w:val="32"/>
                <w:szCs w:val="32"/>
                <w:shd w:val="clear"/>
                <w:lang w:val="en-US" w:eastAsia="zh-CN"/>
              </w:rPr>
              <w:t>区</w:t>
            </w:r>
            <w:r>
              <w:rPr>
                <w:rFonts w:hint="eastAsia" w:ascii="仿宋_GB2312" w:hAnsi="仿宋" w:eastAsia="仿宋_GB2312" w:cs="仿宋"/>
                <w:color w:val="000000"/>
                <w:sz w:val="32"/>
                <w:szCs w:val="32"/>
                <w:shd w:val="clear"/>
              </w:rPr>
              <w:t>完成职业病危害项目申报企业数达</w:t>
            </w:r>
            <w:r>
              <w:rPr>
                <w:rFonts w:hint="eastAsia" w:ascii="仿宋_GB2312" w:hAnsi="仿宋" w:eastAsia="仿宋_GB2312" w:cs="仿宋"/>
                <w:color w:val="000000"/>
                <w:sz w:val="32"/>
                <w:szCs w:val="32"/>
                <w:shd w:val="clear"/>
                <w:lang w:val="en-US" w:eastAsia="zh-CN"/>
              </w:rPr>
              <w:t>434</w:t>
            </w:r>
            <w:r>
              <w:rPr>
                <w:rFonts w:hint="eastAsia" w:ascii="仿宋_GB2312" w:hAnsi="仿宋" w:eastAsia="仿宋_GB2312" w:cs="仿宋"/>
                <w:color w:val="000000"/>
                <w:sz w:val="32"/>
                <w:szCs w:val="32"/>
                <w:shd w:val="clear"/>
              </w:rPr>
              <w:t>家，进行职业健康检查人数</w:t>
            </w:r>
            <w:r>
              <w:rPr>
                <w:rFonts w:hint="eastAsia" w:ascii="仿宋_GB2312" w:hAnsi="仿宋" w:eastAsia="仿宋_GB2312" w:cs="仿宋"/>
                <w:color w:val="000000"/>
                <w:sz w:val="32"/>
                <w:szCs w:val="32"/>
                <w:shd w:val="clear"/>
                <w:lang w:val="en-US" w:eastAsia="zh-CN"/>
              </w:rPr>
              <w:t>3.8</w:t>
            </w:r>
            <w:r>
              <w:rPr>
                <w:rFonts w:hint="eastAsia" w:ascii="仿宋_GB2312" w:hAnsi="仿宋" w:eastAsia="仿宋_GB2312" w:cs="仿宋"/>
                <w:color w:val="000000"/>
                <w:sz w:val="32"/>
                <w:szCs w:val="32"/>
                <w:shd w:val="clear"/>
              </w:rPr>
              <w:t>万人次。</w:t>
            </w:r>
          </w:p>
          <w:p>
            <w:pPr>
              <w:pStyle w:val="15"/>
              <w:pageBreakBefore w:val="0"/>
              <w:tabs>
                <w:tab w:val="left" w:pos="3163"/>
              </w:tabs>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3.深化职业病危害专项治理。</w:t>
            </w:r>
            <w:r>
              <w:rPr>
                <w:rFonts w:hint="eastAsia" w:ascii="仿宋_GB2312" w:hAnsi="仿宋" w:eastAsia="仿宋_GB2312" w:cs="仿宋"/>
                <w:color w:val="000000"/>
                <w:sz w:val="32"/>
                <w:szCs w:val="32"/>
              </w:rPr>
              <w:t>加强高危粉尘和高毒物质的专项治理工作，基本实现粉尘和毒物等主要职业病危害的有效控制。</w:t>
            </w:r>
          </w:p>
          <w:p>
            <w:pPr>
              <w:pStyle w:val="15"/>
              <w:pageBreakBefore w:val="0"/>
              <w:tabs>
                <w:tab w:val="left" w:pos="3163"/>
              </w:tabs>
              <w:kinsoku/>
              <w:wordWrap/>
              <w:overflowPunct/>
              <w:bidi w:val="0"/>
              <w:snapToGrid/>
              <w:spacing w:line="560" w:lineRule="exact"/>
              <w:jc w:val="left"/>
              <w:textAlignment w:val="auto"/>
              <w:rPr>
                <w:rFonts w:hint="eastAsia" w:ascii="仿宋_GB2312" w:hAnsi="仿宋" w:eastAsia="仿宋_GB2312" w:cs="仿宋"/>
                <w:bCs/>
                <w:color w:val="000000"/>
                <w:sz w:val="32"/>
                <w:szCs w:val="32"/>
              </w:rPr>
            </w:pPr>
            <w:r>
              <w:rPr>
                <w:rFonts w:hint="eastAsia" w:ascii="仿宋_GB2312" w:hAnsi="仿宋" w:eastAsia="仿宋_GB2312" w:cs="仿宋"/>
                <w:b/>
                <w:bCs/>
                <w:color w:val="000000"/>
                <w:sz w:val="32"/>
                <w:szCs w:val="32"/>
              </w:rPr>
              <w:t>4.强化职业卫生执法监察。</w:t>
            </w:r>
            <w:r>
              <w:rPr>
                <w:rFonts w:hint="eastAsia" w:ascii="仿宋_GB2312" w:hAnsi="仿宋" w:eastAsia="仿宋_GB2312" w:cs="仿宋"/>
                <w:color w:val="000000"/>
                <w:sz w:val="32"/>
                <w:szCs w:val="32"/>
              </w:rPr>
              <w:t>建立完善职业卫生执法监察和联合执法机制，严厉查处违法违规行为。</w:t>
            </w:r>
          </w:p>
        </w:tc>
      </w:tr>
    </w:tbl>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72" w:name="_Toc24730"/>
      <w:bookmarkStart w:id="173" w:name="_Toc18216"/>
      <w:bookmarkStart w:id="174" w:name="_Toc29027"/>
      <w:bookmarkStart w:id="175" w:name="_Toc10348"/>
      <w:bookmarkStart w:id="176" w:name="_Toc21057"/>
      <w:bookmarkStart w:id="177" w:name="_Toc1826"/>
      <w:bookmarkStart w:id="178" w:name="_Toc9641"/>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r>
        <w:rPr>
          <w:rFonts w:hint="eastAsia" w:ascii="黑体" w:hAnsi="黑体" w:eastAsia="黑体" w:cs="仿宋"/>
          <w:b w:val="0"/>
          <w:color w:val="000000"/>
        </w:rPr>
        <w:t>第</w:t>
      </w:r>
      <w:r>
        <w:rPr>
          <w:rFonts w:hint="eastAsia" w:ascii="黑体" w:hAnsi="黑体" w:eastAsia="黑体" w:cs="仿宋"/>
          <w:b w:val="0"/>
          <w:color w:val="000000"/>
          <w:lang w:eastAsia="zh-CN"/>
        </w:rPr>
        <w:t>九</w:t>
      </w:r>
      <w:r>
        <w:rPr>
          <w:rFonts w:hint="eastAsia" w:ascii="黑体" w:hAnsi="黑体" w:eastAsia="黑体" w:cs="仿宋"/>
          <w:b w:val="0"/>
          <w:color w:val="000000"/>
        </w:rPr>
        <w:t>节  加强冶金等工贸行业安全</w:t>
      </w:r>
      <w:bookmarkEnd w:id="166"/>
      <w:bookmarkEnd w:id="167"/>
      <w:bookmarkEnd w:id="168"/>
      <w:bookmarkEnd w:id="169"/>
      <w:r>
        <w:rPr>
          <w:rFonts w:hint="eastAsia" w:ascii="黑体" w:hAnsi="黑体" w:eastAsia="黑体" w:cs="仿宋"/>
          <w:b w:val="0"/>
          <w:color w:val="000000"/>
        </w:rPr>
        <w:t>基础建设</w:t>
      </w:r>
      <w:bookmarkEnd w:id="170"/>
      <w:bookmarkEnd w:id="171"/>
      <w:bookmarkEnd w:id="172"/>
      <w:bookmarkEnd w:id="173"/>
      <w:bookmarkEnd w:id="174"/>
      <w:bookmarkEnd w:id="175"/>
      <w:bookmarkEnd w:id="176"/>
      <w:bookmarkEnd w:id="177"/>
      <w:bookmarkEnd w:id="178"/>
    </w:p>
    <w:p>
      <w:pPr>
        <w:pStyle w:val="44"/>
        <w:pageBreakBefore w:val="0"/>
        <w:kinsoku/>
        <w:wordWrap/>
        <w:overflowPunct/>
        <w:bidi w:val="0"/>
        <w:snapToGrid/>
        <w:spacing w:line="560" w:lineRule="exact"/>
        <w:textAlignment w:val="auto"/>
        <w:rPr>
          <w:rFonts w:hint="eastAsia" w:ascii="仿宋" w:hAnsi="仿宋" w:eastAsia="仿宋" w:cs="仿宋"/>
          <w:color w:val="000000"/>
          <w:sz w:val="32"/>
        </w:rPr>
      </w:pPr>
    </w:p>
    <w:p>
      <w:pPr>
        <w:pStyle w:val="44"/>
        <w:pageBreakBefore w:val="0"/>
        <w:kinsoku/>
        <w:wordWrap/>
        <w:overflowPunct/>
        <w:bidi w:val="0"/>
        <w:snapToGrid/>
        <w:spacing w:line="560" w:lineRule="exact"/>
        <w:ind w:firstLine="630"/>
        <w:textAlignment w:val="auto"/>
        <w:rPr>
          <w:rFonts w:hint="eastAsia" w:ascii="仿宋_GB2312" w:hAnsi="仿宋" w:eastAsia="仿宋_GB2312" w:cs="仿宋"/>
          <w:color w:val="000000"/>
          <w:sz w:val="32"/>
        </w:rPr>
      </w:pPr>
      <w:r>
        <w:rPr>
          <w:rFonts w:hint="eastAsia" w:ascii="仿宋_GB2312" w:hAnsi="仿宋" w:eastAsia="仿宋_GB2312" w:cs="仿宋"/>
          <w:color w:val="000000"/>
          <w:sz w:val="32"/>
        </w:rPr>
        <w:t>健全冶金、有色、机械、建材、轻工、纺织、烟草、商贸等工贸行业安全管理体系，进一步制定完善安全生产相关标准、规范和管理办法，依法推进相关领域企业安全生产标准化建设。推行分类分级监督管理。强化监督检查，加强对企业建立安全生产管理制度、安全生产责任制、机构人员、培训教育、安全投入、职业病危害等隐患排查治理，提高风险辨识和防控能力。深化金属冶炼、粉尘涉爆、液氨使用、有限空间作业等重点领域的安全生产专项治理，推动企业落实建设项目安全设施“三同时”制度。加强对工贸行业企业储存、使用危险化学品的安全监管。</w:t>
      </w:r>
    </w:p>
    <w:p>
      <w:pPr>
        <w:pStyle w:val="44"/>
        <w:pageBreakBefore w:val="0"/>
        <w:kinsoku/>
        <w:wordWrap/>
        <w:overflowPunct/>
        <w:bidi w:val="0"/>
        <w:snapToGrid/>
        <w:spacing w:line="560" w:lineRule="exact"/>
        <w:ind w:firstLine="630"/>
        <w:textAlignment w:val="auto"/>
        <w:rPr>
          <w:rFonts w:hint="eastAsia" w:ascii="仿宋_GB2312" w:eastAsia="仿宋_GB2312"/>
          <w:color w:val="000000"/>
          <w:sz w:val="32"/>
        </w:rPr>
      </w:pPr>
    </w:p>
    <w:tbl>
      <w:tblPr>
        <w:tblStyle w:val="7"/>
        <w:tblW w:w="934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34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 w:hRule="atLeast"/>
          <w:jc w:val="center"/>
        </w:trPr>
        <w:tc>
          <w:tcPr>
            <w:tcW w:w="9346" w:type="dxa"/>
            <w:vAlign w:val="top"/>
          </w:tcPr>
          <w:p>
            <w:pPr>
              <w:pStyle w:val="15"/>
              <w:pageBreakBefore w:val="0"/>
              <w:tabs>
                <w:tab w:val="left" w:pos="3163"/>
              </w:tabs>
              <w:kinsoku/>
              <w:wordWrap/>
              <w:overflowPunct/>
              <w:bidi w:val="0"/>
              <w:snapToGrid/>
              <w:spacing w:line="560" w:lineRule="exact"/>
              <w:jc w:val="center"/>
              <w:textAlignment w:val="auto"/>
              <w:rPr>
                <w:rFonts w:hint="eastAsia"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专栏10 “十三五”时期深化冶金等工贸行业安全生产专项治理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921" w:hRule="atLeast"/>
          <w:jc w:val="center"/>
        </w:trPr>
        <w:tc>
          <w:tcPr>
            <w:tcW w:w="9346" w:type="dxa"/>
            <w:vAlign w:val="top"/>
          </w:tcPr>
          <w:p>
            <w:pPr>
              <w:pStyle w:val="15"/>
              <w:pageBreakBefore w:val="0"/>
              <w:numPr>
                <w:ilvl w:val="0"/>
                <w:numId w:val="8"/>
              </w:numPr>
              <w:tabs>
                <w:tab w:val="left" w:pos="3163"/>
              </w:tabs>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金属冶炼。</w:t>
            </w:r>
            <w:r>
              <w:rPr>
                <w:rFonts w:hint="eastAsia" w:ascii="仿宋_GB2312" w:hAnsi="仿宋" w:eastAsia="仿宋_GB2312" w:cs="仿宋"/>
                <w:color w:val="000000"/>
                <w:sz w:val="32"/>
                <w:szCs w:val="32"/>
              </w:rPr>
              <w:t>严格安全生产准入条件，加强安全生产整治，坚决淘汰一批不符合安全生产法律法规规定和安全生产条件要求的企业。</w:t>
            </w:r>
          </w:p>
          <w:p>
            <w:pPr>
              <w:pStyle w:val="15"/>
              <w:pageBreakBefore w:val="0"/>
              <w:numPr>
                <w:ilvl w:val="0"/>
                <w:numId w:val="8"/>
              </w:numPr>
              <w:tabs>
                <w:tab w:val="left" w:pos="3163"/>
              </w:tabs>
              <w:kinsoku/>
              <w:wordWrap/>
              <w:overflowPunct/>
              <w:bidi w:val="0"/>
              <w:snapToGrid/>
              <w:spacing w:line="560" w:lineRule="exact"/>
              <w:jc w:val="left"/>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粉尘涉爆。</w:t>
            </w:r>
            <w:r>
              <w:rPr>
                <w:rFonts w:hint="eastAsia" w:ascii="仿宋_GB2312" w:hAnsi="仿宋" w:eastAsia="仿宋_GB2312" w:cs="仿宋"/>
                <w:color w:val="000000"/>
                <w:sz w:val="32"/>
                <w:szCs w:val="32"/>
              </w:rPr>
              <w:t>加强安全生产整治，力争淘汰一批不符合粉尘防爆法规标准要求的粉尘</w:t>
            </w:r>
            <w:r>
              <w:rPr>
                <w:rFonts w:hint="eastAsia" w:ascii="仿宋_GB2312" w:hAnsi="仿宋" w:eastAsia="仿宋" w:cs="仿宋"/>
                <w:color w:val="000000"/>
                <w:sz w:val="32"/>
                <w:szCs w:val="32"/>
                <w:highlight w:val="none"/>
              </w:rPr>
              <w:t>渉</w:t>
            </w:r>
            <w:r>
              <w:rPr>
                <w:rFonts w:hint="eastAsia" w:ascii="仿宋_GB2312" w:hAnsi="仿宋" w:eastAsia="仿宋_GB2312" w:cs="仿宋"/>
                <w:color w:val="000000"/>
                <w:sz w:val="32"/>
                <w:szCs w:val="32"/>
                <w:highlight w:val="none"/>
              </w:rPr>
              <w:t>爆</w:t>
            </w:r>
            <w:r>
              <w:rPr>
                <w:rFonts w:hint="eastAsia" w:ascii="仿宋_GB2312" w:hAnsi="仿宋" w:eastAsia="仿宋_GB2312" w:cs="仿宋"/>
                <w:color w:val="000000"/>
                <w:sz w:val="32"/>
                <w:szCs w:val="32"/>
              </w:rPr>
              <w:t>企业，淘汰企业数量占企业总数量的5%。</w:t>
            </w:r>
          </w:p>
          <w:p>
            <w:pPr>
              <w:pStyle w:val="15"/>
              <w:pageBreakBefore w:val="0"/>
              <w:tabs>
                <w:tab w:val="left" w:pos="3163"/>
              </w:tabs>
              <w:kinsoku/>
              <w:wordWrap/>
              <w:overflowPunct/>
              <w:bidi w:val="0"/>
              <w:snapToGrid/>
              <w:spacing w:line="560" w:lineRule="exact"/>
              <w:jc w:val="left"/>
              <w:textAlignment w:val="auto"/>
              <w:rPr>
                <w:rFonts w:hint="eastAsia"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3.液氨使用。</w:t>
            </w:r>
            <w:r>
              <w:rPr>
                <w:rFonts w:hint="eastAsia" w:ascii="仿宋_GB2312" w:hAnsi="仿宋" w:eastAsia="仿宋_GB2312" w:cs="仿宋"/>
                <w:color w:val="000000"/>
                <w:sz w:val="32"/>
                <w:szCs w:val="32"/>
              </w:rPr>
              <w:t>深化液氨使用安全生产专项整治，巩固工作成效，属地政府及有关监管部门严防、严查液氨制冷企业存在“两类重大事故隐患”（涉氨制冷企业人员较多生产场所采用氨直接蒸发制冷空调系统和快速冻结装置未设置在单独作业间内）的违法违规行为。</w:t>
            </w:r>
          </w:p>
          <w:p>
            <w:pPr>
              <w:pStyle w:val="15"/>
              <w:pageBreakBefore w:val="0"/>
              <w:tabs>
                <w:tab w:val="left" w:pos="3163"/>
              </w:tabs>
              <w:kinsoku/>
              <w:wordWrap/>
              <w:overflowPunct/>
              <w:bidi w:val="0"/>
              <w:snapToGrid/>
              <w:spacing w:line="560" w:lineRule="exact"/>
              <w:jc w:val="left"/>
              <w:textAlignment w:val="auto"/>
              <w:rPr>
                <w:rFonts w:hint="eastAsia" w:ascii="仿宋_GB2312" w:hAnsi="仿宋" w:eastAsia="仿宋_GB2312" w:cs="仿宋"/>
                <w:b/>
                <w:bCs/>
                <w:color w:val="000000"/>
                <w:sz w:val="32"/>
                <w:szCs w:val="32"/>
              </w:rPr>
            </w:pPr>
            <w:r>
              <w:rPr>
                <w:rFonts w:hint="eastAsia" w:ascii="仿宋_GB2312" w:hAnsi="仿宋" w:eastAsia="仿宋_GB2312" w:cs="仿宋"/>
                <w:b/>
                <w:bCs/>
                <w:color w:val="000000"/>
                <w:sz w:val="32"/>
                <w:szCs w:val="32"/>
              </w:rPr>
              <w:t>4.有限空间作业。</w:t>
            </w:r>
            <w:r>
              <w:rPr>
                <w:rFonts w:hint="eastAsia" w:ascii="仿宋_GB2312" w:hAnsi="仿宋" w:eastAsia="仿宋_GB2312" w:cs="仿宋"/>
                <w:color w:val="000000"/>
                <w:sz w:val="32"/>
                <w:szCs w:val="32"/>
              </w:rPr>
              <w:t>指导冶金等工贸行业企业加强有限空间作业安全管理，推动开展造纸和酱腌菜生产企业等行业领域有限空间作业条件确认工作，深入排查有限空间作业生产安全事故隐患，依法严查企业违法违规行为。</w:t>
            </w:r>
          </w:p>
        </w:tc>
      </w:tr>
    </w:tbl>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79" w:name="_Toc2317"/>
      <w:bookmarkStart w:id="180" w:name="_Toc32027"/>
      <w:r>
        <w:rPr>
          <w:rFonts w:hint="eastAsia" w:ascii="黑体" w:hAnsi="黑体" w:eastAsia="黑体" w:cs="仿宋"/>
          <w:b w:val="0"/>
          <w:color w:val="000000"/>
        </w:rPr>
        <w:t>第十节  保障电力安全</w:t>
      </w:r>
      <w:bookmarkEnd w:id="179"/>
      <w:bookmarkEnd w:id="180"/>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健全电网安全风险的分析监测和防控制度。推进电力企业安全风险预警防控体系建设，加强发电企业的主设备和危险源管理。强化输电线路跨越、城中村供电隐患、社会人员触电等涉电安全管理与隐患排查治理，严防社会人员触电风险，对重大问题隐患挂牌督办、限期完成。加强电力建设项目安全监管，建立电力安全协同监管机制。加强水电站大坝动态监测、安全检查和隐患整治。完善大面积停电应急体系，健全政、</w:t>
      </w:r>
      <w:r>
        <w:rPr>
          <w:rFonts w:hint="eastAsia" w:ascii="仿宋_GB2312" w:hAnsi="仿宋" w:eastAsia="仿宋_GB2312" w:cs="仿宋"/>
          <w:color w:val="000000"/>
          <w:sz w:val="32"/>
          <w:szCs w:val="32"/>
          <w:highlight w:val="none"/>
        </w:rPr>
        <w:t>企和</w:t>
      </w:r>
      <w:r>
        <w:rPr>
          <w:rFonts w:hint="eastAsia" w:ascii="仿宋_GB2312" w:hAnsi="仿宋" w:eastAsia="仿宋_GB2312" w:cs="仿宋"/>
          <w:color w:val="000000"/>
          <w:sz w:val="32"/>
          <w:szCs w:val="32"/>
        </w:rPr>
        <w:t>社会联动机制。</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81" w:name="_Toc26138"/>
      <w:bookmarkStart w:id="182" w:name="_Toc20373"/>
      <w:r>
        <w:rPr>
          <w:rFonts w:hint="eastAsia" w:ascii="黑体" w:hAnsi="黑体" w:eastAsia="黑体" w:cs="仿宋"/>
          <w:b w:val="0"/>
          <w:color w:val="000000"/>
        </w:rPr>
        <w:t>第十</w:t>
      </w:r>
      <w:r>
        <w:rPr>
          <w:rFonts w:hint="eastAsia" w:ascii="黑体" w:hAnsi="黑体" w:eastAsia="黑体" w:cs="仿宋"/>
          <w:b w:val="0"/>
          <w:color w:val="000000"/>
          <w:lang w:eastAsia="zh-CN"/>
        </w:rPr>
        <w:t>一</w:t>
      </w:r>
      <w:r>
        <w:rPr>
          <w:rFonts w:hint="eastAsia" w:ascii="黑体" w:hAnsi="黑体" w:eastAsia="黑体" w:cs="仿宋"/>
          <w:b w:val="0"/>
          <w:color w:val="000000"/>
        </w:rPr>
        <w:t>节  完善农业机械安全监管制度</w:t>
      </w:r>
      <w:bookmarkEnd w:id="181"/>
      <w:bookmarkEnd w:id="182"/>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开展“平安农机”创建和农机安全生产宣传活动。推广应用移动式农机安全技术检测和农机驾驶人考试装备。加强农机驾驶人员的安全培训。推进农机安全管理信息化建设，实施金农工程。探索农机政策性保险，鼓励支持农机安全互助组织有序发展。</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Cs w:val="0"/>
          <w:color w:val="000000"/>
        </w:rPr>
      </w:pPr>
      <w:bookmarkStart w:id="183" w:name="_Toc27859"/>
      <w:bookmarkStart w:id="184" w:name="_Toc23083"/>
      <w:r>
        <w:rPr>
          <w:rStyle w:val="51"/>
          <w:rFonts w:hint="eastAsia" w:ascii="黑体" w:hAnsi="黑体" w:eastAsia="黑体" w:cs="仿宋"/>
          <w:b w:val="0"/>
          <w:bCs/>
          <w:color w:val="000000"/>
        </w:rPr>
        <w:t>第十二节  强化渔业船舶安全设施建设</w:t>
      </w:r>
      <w:bookmarkEnd w:id="183"/>
      <w:bookmarkEnd w:id="184"/>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加强渔港、避风塘等防灾减灾基础设施的建设、管理和维护。改善渔港的防风防灾、补给维护、安全监控和治安消防条件。健全气象灾害预警预报信息发布机制，完善应急处置配套设施建设和遇险人员撤离、安置以及灾后复产配套设施。加快渔船更新改造，建立木质渔船退出淘汰机制，研发推广一批安全系数高、抗风险能力强的钢质、玻璃钢质海洋渔船标准船型。新建一批大中型钢质、玻璃钢渔船；鼓励以渔船或捕捞权抵押等方式筹资进行更新改造。实施渔船安全救生设备补助项目。推广应用气胀式救生筏等装备，</w:t>
      </w:r>
      <w:r>
        <w:rPr>
          <w:rFonts w:hint="eastAsia" w:ascii="仿宋_GB2312" w:hAnsi="仿宋" w:eastAsia="仿宋_GB2312" w:cs="仿宋"/>
          <w:color w:val="000000" w:themeColor="text1"/>
          <w:sz w:val="32"/>
          <w:szCs w:val="32"/>
          <w14:textFill>
            <w14:solidFill>
              <w14:schemeClr w14:val="tx1"/>
            </w14:solidFill>
          </w14:textFill>
        </w:rPr>
        <w:t>实现沿</w:t>
      </w:r>
      <w:r>
        <w:rPr>
          <w:rFonts w:hint="eastAsia" w:ascii="仿宋_GB2312" w:hAnsi="仿宋" w:eastAsia="仿宋_GB2312" w:cs="仿宋"/>
          <w:color w:val="000000" w:themeColor="text1"/>
          <w:sz w:val="32"/>
          <w:szCs w:val="32"/>
          <w:lang w:eastAsia="zh-CN"/>
          <w14:textFill>
            <w14:solidFill>
              <w14:schemeClr w14:val="tx1"/>
            </w14:solidFill>
          </w14:textFill>
        </w:rPr>
        <w:t>河</w:t>
      </w:r>
      <w:r>
        <w:rPr>
          <w:rFonts w:hint="eastAsia" w:ascii="仿宋_GB2312" w:hAnsi="仿宋" w:eastAsia="仿宋_GB2312" w:cs="仿宋"/>
          <w:color w:val="000000" w:themeColor="text1"/>
          <w:sz w:val="32"/>
          <w:szCs w:val="32"/>
          <w14:textFill>
            <w14:solidFill>
              <w14:schemeClr w14:val="tx1"/>
            </w14:solidFill>
          </w14:textFill>
        </w:rPr>
        <w:t>中型以上渔船救生筏（浮）等集体救生设备应配尽配。继续深化“平安渔业示范县”和“文明渔港”创建活动。</w:t>
      </w:r>
      <w:r>
        <w:rPr>
          <w:rFonts w:hint="eastAsia" w:ascii="仿宋_GB2312" w:hAnsi="仿宋" w:eastAsia="仿宋_GB2312" w:cs="仿宋"/>
          <w:color w:val="000000"/>
          <w:sz w:val="32"/>
          <w:szCs w:val="32"/>
        </w:rPr>
        <w:t>开展以防风、防雾、防碰撞、自救互救等安全知识宣传教育、培训以及实操性防灾减灾应急演练，进一步提高从业人员安全素质和技能。</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bookmarkEnd w:id="124"/>
    <w:p>
      <w:pPr>
        <w:pStyle w:val="14"/>
        <w:pageBreakBefore w:val="0"/>
        <w:kinsoku/>
        <w:wordWrap/>
        <w:overflowPunct/>
        <w:bidi w:val="0"/>
        <w:snapToGrid/>
        <w:spacing w:line="560" w:lineRule="exact"/>
        <w:ind w:firstLine="872"/>
        <w:jc w:val="center"/>
        <w:textAlignment w:val="auto"/>
        <w:rPr>
          <w:rFonts w:hint="eastAsia" w:ascii="方正小标宋_GBK" w:hAnsi="黑体" w:eastAsia="方正小标宋_GBK"/>
          <w:color w:val="000000"/>
          <w:sz w:val="44"/>
          <w:szCs w:val="44"/>
        </w:rPr>
      </w:pPr>
      <w:bookmarkStart w:id="185" w:name="_Toc425086788"/>
      <w:r>
        <w:rPr>
          <w:rFonts w:hint="eastAsia" w:ascii="方正小标宋_GBK" w:hAnsi="黑体" w:eastAsia="方正小标宋_GBK" w:cs="仿宋"/>
          <w:bCs w:val="0"/>
          <w:color w:val="000000"/>
          <w:sz w:val="44"/>
          <w:szCs w:val="44"/>
        </w:rPr>
        <w:t xml:space="preserve"> </w:t>
      </w:r>
      <w:bookmarkStart w:id="186" w:name="_Toc14795"/>
      <w:bookmarkStart w:id="187" w:name="_Toc1084"/>
      <w:r>
        <w:rPr>
          <w:rFonts w:hint="eastAsia" w:ascii="方正小标宋_GBK" w:hAnsi="黑体" w:eastAsia="方正小标宋_GBK"/>
          <w:color w:val="000000"/>
          <w:sz w:val="44"/>
          <w:szCs w:val="44"/>
        </w:rPr>
        <w:t>第六章  推进安全生产领域改革发展</w:t>
      </w:r>
      <w:bookmarkEnd w:id="186"/>
      <w:bookmarkEnd w:id="187"/>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rPr>
      </w:pPr>
      <w:r>
        <w:rPr>
          <w:rFonts w:hint="eastAsia" w:ascii="仿宋_GB2312" w:hAnsi="仿宋" w:eastAsia="仿宋_GB2312" w:cs="仿宋"/>
          <w:color w:val="000000"/>
          <w:sz w:val="32"/>
        </w:rPr>
        <w:t>全面贯彻落实党中央、国务院和省委、省政府</w:t>
      </w:r>
      <w:r>
        <w:rPr>
          <w:rFonts w:hint="eastAsia" w:ascii="仿宋_GB2312" w:hAnsi="仿宋" w:eastAsia="仿宋_GB2312" w:cs="仿宋"/>
          <w:color w:val="000000"/>
          <w:sz w:val="32"/>
          <w:lang w:eastAsia="zh-CN"/>
        </w:rPr>
        <w:t>和</w:t>
      </w:r>
      <w:r>
        <w:rPr>
          <w:rFonts w:hint="eastAsia" w:ascii="仿宋_GB2312" w:hAnsi="仿宋" w:eastAsia="仿宋_GB2312" w:cs="仿宋"/>
          <w:color w:val="000000" w:themeColor="text1"/>
          <w:sz w:val="32"/>
          <w:lang w:eastAsia="zh-CN"/>
          <w14:textFill>
            <w14:solidFill>
              <w14:schemeClr w14:val="tx1"/>
            </w14:solidFill>
          </w14:textFill>
        </w:rPr>
        <w:t>市委</w:t>
      </w:r>
      <w:r>
        <w:rPr>
          <w:rFonts w:hint="eastAsia" w:ascii="仿宋_GB2312" w:hAnsi="仿宋" w:eastAsia="仿宋_GB2312" w:cs="仿宋"/>
          <w:color w:val="0000FF"/>
          <w:sz w:val="32"/>
          <w:lang w:eastAsia="zh-CN"/>
        </w:rPr>
        <w:t>、</w:t>
      </w:r>
      <w:r>
        <w:rPr>
          <w:rFonts w:hint="eastAsia" w:ascii="仿宋_GB2312" w:hAnsi="仿宋" w:eastAsia="仿宋_GB2312" w:cs="仿宋"/>
          <w:color w:val="000000"/>
          <w:sz w:val="32"/>
          <w:lang w:eastAsia="zh-CN"/>
        </w:rPr>
        <w:t>市政府</w:t>
      </w:r>
      <w:r>
        <w:rPr>
          <w:rFonts w:hint="eastAsia" w:ascii="仿宋_GB2312" w:hAnsi="仿宋" w:eastAsia="仿宋_GB2312" w:cs="仿宋"/>
          <w:color w:val="000000"/>
          <w:sz w:val="32"/>
        </w:rPr>
        <w:t>关于推进安全生产领域改革发展的决策部署，加强制度性建设，依靠严密的责任体系、严格的法治措施、有效的体制机制、有力的基础保障和完善的系统治理，解决好安全生产领域的突出问题。</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88" w:name="_Toc30953"/>
      <w:bookmarkStart w:id="189" w:name="_Toc16183"/>
      <w:r>
        <w:rPr>
          <w:rFonts w:hint="eastAsia" w:ascii="黑体" w:hAnsi="黑体" w:eastAsia="黑体" w:cs="仿宋"/>
          <w:b w:val="0"/>
          <w:color w:val="000000"/>
        </w:rPr>
        <w:t>第一节  改革完善安全监管体制机制</w:t>
      </w:r>
      <w:bookmarkEnd w:id="188"/>
      <w:bookmarkEnd w:id="189"/>
    </w:p>
    <w:p>
      <w:pPr>
        <w:pStyle w:val="15"/>
        <w:pageBreakBefore w:val="0"/>
        <w:kinsoku/>
        <w:wordWrap/>
        <w:overflowPunct/>
        <w:bidi w:val="0"/>
        <w:snapToGrid/>
        <w:spacing w:line="560" w:lineRule="exact"/>
        <w:textAlignment w:val="auto"/>
        <w:rPr>
          <w:rFonts w:hint="eastAsia" w:ascii="仿宋" w:hAnsi="仿宋" w:eastAsia="仿宋" w:cs="仿宋"/>
          <w:color w:val="000000"/>
          <w:sz w:val="32"/>
        </w:rPr>
      </w:pPr>
    </w:p>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rPr>
      </w:pPr>
      <w:r>
        <w:rPr>
          <w:rFonts w:hint="eastAsia" w:ascii="仿宋_GB2312" w:hAnsi="仿宋" w:eastAsia="仿宋_GB2312" w:cs="仿宋"/>
          <w:color w:val="000000"/>
          <w:sz w:val="32"/>
        </w:rPr>
        <w:t xml:space="preserve">    </w:t>
      </w:r>
      <w:r>
        <w:rPr>
          <w:rFonts w:hint="eastAsia" w:ascii="仿宋_GB2312" w:hAnsi="仿宋" w:eastAsia="仿宋_GB2312" w:cs="仿宋"/>
          <w:b/>
          <w:bCs/>
          <w:color w:val="000000"/>
          <w:sz w:val="32"/>
        </w:rPr>
        <w:t>强化安全监管部门综合监管职能</w:t>
      </w:r>
      <w:r>
        <w:rPr>
          <w:rFonts w:hint="eastAsia" w:ascii="仿宋_GB2312" w:hAnsi="仿宋" w:eastAsia="仿宋_GB2312" w:cs="仿宋"/>
          <w:color w:val="000000"/>
          <w:sz w:val="32"/>
        </w:rPr>
        <w:t>。强化安全监管部门指导协调职能作用，健全完善安全生产报告制度、议事制度、事故预警制度、联合执法制度等，提升调研分析、决策参谋能力。强化监督检查作用，健全完善安全生产监督检查制度、重大事故隐患和事故挂牌督办制度、安全生产约谈制度等，完善监督检查方式方法，督促同级有关部门和下级政府依法履行行业领域监管职责和属地监管责任。强化督查</w:t>
      </w:r>
      <w:r>
        <w:rPr>
          <w:rFonts w:hint="eastAsia" w:ascii="仿宋_GB2312" w:hAnsi="仿宋" w:eastAsia="仿宋_GB2312" w:cs="仿宋"/>
          <w:color w:val="0000FF"/>
          <w:sz w:val="32"/>
        </w:rPr>
        <w:t>、</w:t>
      </w:r>
      <w:r>
        <w:rPr>
          <w:rFonts w:hint="eastAsia" w:ascii="仿宋_GB2312" w:hAnsi="仿宋" w:eastAsia="仿宋_GB2312" w:cs="仿宋"/>
          <w:color w:val="000000"/>
          <w:sz w:val="32"/>
        </w:rPr>
        <w:t>考核作用，健全完善安全生产责任制考核等制度，推动各级安全监管部门全过程监督安全生产各项目标任务的完成情况，发挥考核的导向作用和督查的推动作用。</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rPr>
      </w:pPr>
      <w:r>
        <w:rPr>
          <w:rFonts w:hint="eastAsia" w:ascii="仿宋_GB2312" w:hAnsi="仿宋" w:eastAsia="仿宋_GB2312" w:cs="仿宋"/>
          <w:b/>
          <w:bCs/>
          <w:color w:val="000000"/>
          <w:sz w:val="32"/>
        </w:rPr>
        <w:t>健全行业主管部门监管机制</w:t>
      </w:r>
      <w:r>
        <w:rPr>
          <w:rFonts w:hint="eastAsia" w:ascii="仿宋_GB2312" w:hAnsi="仿宋" w:eastAsia="仿宋_GB2312" w:cs="仿宋"/>
          <w:color w:val="000000"/>
          <w:sz w:val="32"/>
        </w:rPr>
        <w:t>。按照“管行业必须管安全、管业务必须管安全、管生产经营必须管安全”的要求，各行业主管部门完善安全监管机制，依法履行安全监管职责。制定各部门安全生产监管权力清单和责任清单，依照安全生产相关法律法规和规章规定，以清单方式明确每个部门、每项安全生产监管的职权和责任，制定工作流程图，厘清权责边界，杜绝监管盲区，并及时向社会公开，做到日常照单监管、失职照</w:t>
      </w:r>
      <w:r>
        <w:rPr>
          <w:rFonts w:hint="eastAsia" w:ascii="仿宋_GB2312" w:hAnsi="仿宋" w:eastAsia="仿宋_GB2312" w:cs="仿宋"/>
          <w:color w:val="000000"/>
          <w:sz w:val="32"/>
          <w:highlight w:val="none"/>
        </w:rPr>
        <w:t>单追责</w:t>
      </w:r>
      <w:r>
        <w:rPr>
          <w:rFonts w:hint="eastAsia" w:ascii="仿宋_GB2312" w:hAnsi="仿宋" w:eastAsia="仿宋_GB2312" w:cs="仿宋"/>
          <w:color w:val="000000"/>
          <w:sz w:val="32"/>
        </w:rPr>
        <w:t>。完善行业部门监管体制，推动各级行业部门在机构改革工作中完善安全监管机构设置、调整充实人员力量，确保行业监管力量得到加强。推动行业部门业务工作和安全生产监管的深度融合，把安全生产监管有机融合到各行业部门的审批、监管行政管理过程中，切实强化安全生产源头管理，加强过程管控。</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rPr>
      </w:pPr>
      <w:r>
        <w:rPr>
          <w:rFonts w:hint="eastAsia" w:ascii="仿宋_GB2312" w:hAnsi="仿宋" w:eastAsia="仿宋_GB2312" w:cs="仿宋"/>
          <w:b/>
          <w:bCs/>
          <w:color w:val="000000"/>
          <w:sz w:val="32"/>
        </w:rPr>
        <w:t>加强基层安全监管执法队伍建设。</w:t>
      </w:r>
      <w:r>
        <w:rPr>
          <w:rFonts w:hint="eastAsia" w:ascii="仿宋_GB2312" w:hAnsi="仿宋" w:eastAsia="仿宋_GB2312" w:cs="仿宋"/>
          <w:color w:val="000000"/>
          <w:sz w:val="32"/>
        </w:rPr>
        <w:t>健全基层安全监管执法机构，在机构限额内单独设置安全生产监管机构，逐步提高专业监管执法人员比例。根据当地的经济发展水平和安全监管任务，进一步加强镇级安全监管体系建设，统筹考虑辖区内监管任务需求，产业层次、特点等因素</w:t>
      </w:r>
      <w:r>
        <w:rPr>
          <w:rFonts w:hint="eastAsia" w:ascii="仿宋_GB2312" w:hAnsi="仿宋" w:eastAsia="仿宋_GB2312" w:cs="仿宋"/>
          <w:color w:val="000000"/>
          <w:sz w:val="32"/>
          <w:highlight w:val="none"/>
        </w:rPr>
        <w:t>合力配置</w:t>
      </w:r>
      <w:r>
        <w:rPr>
          <w:rFonts w:hint="eastAsia" w:ascii="仿宋_GB2312" w:hAnsi="仿宋" w:eastAsia="仿宋_GB2312" w:cs="仿宋"/>
          <w:color w:val="000000"/>
          <w:sz w:val="32"/>
        </w:rPr>
        <w:t>监管力量，监管任务特别重的特大镇可在机构限额内单独设置安全生产监管机构。加强基层安全监管执法队伍建设，2016年内按计划组建完成乡镇（街道、园区）专职安全生产监督检查员队伍，确保</w:t>
      </w:r>
      <w:r>
        <w:rPr>
          <w:rFonts w:hint="eastAsia" w:ascii="仿宋_GB2312" w:hAnsi="仿宋" w:eastAsia="仿宋_GB2312" w:cs="仿宋"/>
          <w:color w:val="000000"/>
          <w:sz w:val="32"/>
          <w:shd w:val="clear"/>
          <w:lang w:val="en-US" w:eastAsia="zh-CN"/>
        </w:rPr>
        <w:t>68</w:t>
      </w:r>
      <w:r>
        <w:rPr>
          <w:rFonts w:hint="eastAsia" w:ascii="仿宋_GB2312" w:hAnsi="仿宋" w:eastAsia="仿宋_GB2312" w:cs="仿宋"/>
          <w:color w:val="000000"/>
          <w:sz w:val="32"/>
        </w:rPr>
        <w:t>名的专职检查员队伍招录到位、培训到位、管理到位、经费保障到位。加强监管执法保障建设，健全安全生产监管执法经费保障机制，将安全生产监管执法经费纳入同级财政保障范围、列入财政预算，深入开展安全生产监管执法机构规范化、标准化建设。</w:t>
      </w:r>
    </w:p>
    <w:p>
      <w:pPr>
        <w:pStyle w:val="15"/>
        <w:pageBreakBefore w:val="0"/>
        <w:kinsoku/>
        <w:wordWrap/>
        <w:overflowPunct/>
        <w:bidi w:val="0"/>
        <w:snapToGrid/>
        <w:spacing w:line="560" w:lineRule="exact"/>
        <w:ind w:firstLine="643" w:firstLineChars="200"/>
        <w:textAlignment w:val="auto"/>
        <w:rPr>
          <w:rFonts w:hint="eastAsia" w:ascii="仿宋_GB2312" w:hAnsi="仿宋" w:eastAsia="仿宋_GB2312" w:cs="仿宋"/>
          <w:color w:val="000000"/>
          <w:sz w:val="32"/>
        </w:rPr>
      </w:pPr>
      <w:r>
        <w:rPr>
          <w:rFonts w:hint="eastAsia" w:ascii="仿宋_GB2312" w:hAnsi="仿宋" w:eastAsia="仿宋_GB2312" w:cs="仿宋"/>
          <w:b/>
          <w:bCs/>
          <w:color w:val="000000"/>
          <w:sz w:val="32"/>
        </w:rPr>
        <w:t>完善各类功能区的安全监管体制。</w:t>
      </w:r>
      <w:r>
        <w:rPr>
          <w:rFonts w:hint="eastAsia" w:ascii="仿宋_GB2312" w:hAnsi="仿宋" w:eastAsia="仿宋_GB2312" w:cs="仿宋"/>
          <w:color w:val="000000"/>
          <w:sz w:val="32"/>
        </w:rPr>
        <w:t>推动“党政同责、一岗双责、失职追责”和“管行业必须管安全、管业务必须管安全、管生产经营必须管安全”的要求在</w:t>
      </w:r>
      <w:r>
        <w:rPr>
          <w:rFonts w:hint="eastAsia" w:ascii="仿宋_GB2312" w:hAnsi="仿宋" w:eastAsia="仿宋_GB2312" w:cs="仿宋"/>
          <w:color w:val="000000"/>
          <w:sz w:val="32"/>
          <w:shd w:val="clear"/>
        </w:rPr>
        <w:t>工业园区、风景区</w:t>
      </w:r>
      <w:r>
        <w:rPr>
          <w:rFonts w:hint="eastAsia" w:ascii="仿宋_GB2312" w:hAnsi="仿宋" w:eastAsia="仿宋_GB2312" w:cs="仿宋"/>
          <w:color w:val="000000"/>
          <w:sz w:val="32"/>
        </w:rPr>
        <w:t>等各类功能区落到实处，实现行业主管部门在功能区安全监管职能全覆盖。建立健全各类功能区安全生产监管体系，明确各类功能区安全监管部门和安全生产执法机构，建立规范、有序、专业、高效的监管工作机制。根据各类功能区的特点和规模，加强安全监管机构队伍建设，按有关规定配齐配强安全监管人员，并保持队伍人员稳定，确保各类功能区安全生产工作有人管、管到位。切实严格对各类功能区企业的安全生产执法监管，在招商引资、项目建设、运行管理中严把安全生产关，深入开展各类安全专项整治，督促各类功能区企业依法依规生产经营。</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90" w:name="_Toc28982"/>
      <w:bookmarkStart w:id="191" w:name="_Toc6823"/>
      <w:r>
        <w:rPr>
          <w:rFonts w:hint="eastAsia" w:ascii="黑体" w:hAnsi="黑体" w:eastAsia="黑体" w:cs="仿宋"/>
          <w:b w:val="0"/>
          <w:color w:val="000000"/>
        </w:rPr>
        <w:t>第二节  深化安全生产行政审批制度改革</w:t>
      </w:r>
      <w:bookmarkEnd w:id="190"/>
      <w:bookmarkEnd w:id="191"/>
    </w:p>
    <w:p>
      <w:pPr>
        <w:pStyle w:val="15"/>
        <w:pageBreakBefore w:val="0"/>
        <w:kinsoku/>
        <w:wordWrap/>
        <w:overflowPunct/>
        <w:bidi w:val="0"/>
        <w:snapToGrid/>
        <w:spacing w:line="560" w:lineRule="exact"/>
        <w:ind w:firstLine="645"/>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5"/>
        <w:textAlignment w:val="auto"/>
        <w:rPr>
          <w:rFonts w:hint="eastAsia" w:ascii="仿宋_GB2312" w:hAnsi="黑体" w:eastAsia="仿宋_GB2312" w:cs="仿宋"/>
          <w:color w:val="000000"/>
          <w:sz w:val="32"/>
          <w:szCs w:val="32"/>
        </w:rPr>
      </w:pPr>
      <w:r>
        <w:rPr>
          <w:rFonts w:hint="eastAsia" w:ascii="仿宋_GB2312" w:hAnsi="黑体" w:eastAsia="仿宋_GB2312" w:cs="仿宋"/>
          <w:color w:val="000000"/>
          <w:sz w:val="32"/>
          <w:szCs w:val="32"/>
        </w:rPr>
        <w:t>严格建设项目安全准入，加强建设项目的日常安全监管，督促企业依法落实安全生产“三同时”制度，切实把安全生产的要求贯穿建设项目规划、选址、设计、建设、验收、运营的全过程和各环节。严格执行高危行业企业安全</w:t>
      </w:r>
      <w:r>
        <w:rPr>
          <w:rFonts w:hint="eastAsia" w:ascii="仿宋_GB2312" w:hAnsi="黑体" w:eastAsia="仿宋_GB2312" w:cs="仿宋"/>
          <w:color w:val="000000"/>
          <w:sz w:val="32"/>
          <w:szCs w:val="32"/>
          <w:lang w:val="en-US" w:eastAsia="zh-CN"/>
        </w:rPr>
        <w:t>生产</w:t>
      </w:r>
      <w:r>
        <w:rPr>
          <w:rFonts w:hint="eastAsia" w:ascii="仿宋_GB2312" w:hAnsi="黑体" w:eastAsia="仿宋_GB2312" w:cs="仿宋"/>
          <w:color w:val="000000"/>
          <w:sz w:val="32"/>
          <w:szCs w:val="32"/>
        </w:rPr>
        <w:t>许可制度，加强对</w:t>
      </w:r>
      <w:r>
        <w:rPr>
          <w:rFonts w:hint="eastAsia" w:ascii="仿宋_GB2312" w:hAnsi="黑体" w:eastAsia="仿宋_GB2312" w:cs="仿宋"/>
          <w:color w:val="000000"/>
          <w:sz w:val="32"/>
          <w:szCs w:val="32"/>
          <w:lang w:eastAsia="zh-CN"/>
        </w:rPr>
        <w:t>安全生产许可证、</w:t>
      </w:r>
      <w:r>
        <w:rPr>
          <w:rFonts w:hint="eastAsia" w:ascii="仿宋_GB2312" w:hAnsi="黑体" w:eastAsia="仿宋_GB2312" w:cs="仿宋"/>
          <w:color w:val="000000"/>
          <w:sz w:val="32"/>
          <w:szCs w:val="32"/>
          <w:lang w:val="en-US" w:eastAsia="zh-CN"/>
        </w:rPr>
        <w:t>危险化学经营许可、烟花爆竹经营（零售）许可证</w:t>
      </w:r>
      <w:r>
        <w:rPr>
          <w:rFonts w:hint="eastAsia" w:ascii="仿宋_GB2312" w:hAnsi="黑体" w:eastAsia="仿宋_GB2312" w:cs="仿宋"/>
          <w:color w:val="000000"/>
          <w:sz w:val="32"/>
          <w:szCs w:val="32"/>
        </w:rPr>
        <w:t>颁发管理工作的监督指导，规范并制定</w:t>
      </w:r>
      <w:r>
        <w:rPr>
          <w:rFonts w:hint="eastAsia" w:ascii="仿宋_GB2312" w:hAnsi="黑体" w:eastAsia="仿宋_GB2312" w:cs="仿宋"/>
          <w:color w:val="000000"/>
          <w:sz w:val="32"/>
          <w:szCs w:val="32"/>
          <w:lang w:val="en-US" w:eastAsia="zh-CN"/>
        </w:rPr>
        <w:t>安全生产许可证和经营许可证</w:t>
      </w:r>
      <w:r>
        <w:rPr>
          <w:rFonts w:hint="eastAsia" w:ascii="仿宋_GB2312" w:hAnsi="黑体" w:eastAsia="仿宋_GB2312" w:cs="仿宋"/>
          <w:color w:val="000000"/>
          <w:sz w:val="32"/>
          <w:szCs w:val="32"/>
        </w:rPr>
        <w:t>颁发管理流程图，严格审查高危行业企业的法定安全生产条件，强化持证企业的日常监督检查，做到既简政放权、又确保安全准入门槛不降低、安全监管不放松，确保高危行业企业依法持证生产经营。持续推进安全生产行政审批制度改革，放管结合，优化服务。依法取消、转移或下放有关行政许可事项，制定完善配套监管措施，强化事中事后监管和执法工作。推动并规范安全生产在线审批监管工作，按规定及时公开行政许可、行政处罚信息。</w:t>
      </w:r>
    </w:p>
    <w:p>
      <w:pPr>
        <w:pStyle w:val="15"/>
        <w:pageBreakBefore w:val="0"/>
        <w:kinsoku/>
        <w:wordWrap/>
        <w:overflowPunct/>
        <w:bidi w:val="0"/>
        <w:snapToGrid/>
        <w:spacing w:line="560" w:lineRule="exact"/>
        <w:ind w:firstLine="645"/>
        <w:textAlignment w:val="auto"/>
        <w:rPr>
          <w:rFonts w:hint="eastAsia" w:ascii="仿宋_GB2312" w:hAnsi="黑体" w:eastAsia="仿宋_GB2312" w:cs="仿宋"/>
          <w:color w:val="000000"/>
          <w:sz w:val="32"/>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92" w:name="_Toc14468"/>
      <w:bookmarkStart w:id="193" w:name="_Toc29486"/>
      <w:r>
        <w:rPr>
          <w:rFonts w:hint="eastAsia" w:ascii="黑体" w:hAnsi="黑体" w:eastAsia="黑体" w:cs="仿宋"/>
          <w:b w:val="0"/>
          <w:color w:val="000000"/>
        </w:rPr>
        <w:t>第三节  推动安全生产社会化服务体系建设</w:t>
      </w:r>
      <w:bookmarkEnd w:id="192"/>
      <w:bookmarkEnd w:id="193"/>
    </w:p>
    <w:p>
      <w:pPr>
        <w:pStyle w:val="15"/>
        <w:pageBreakBefore w:val="0"/>
        <w:kinsoku/>
        <w:wordWrap/>
        <w:overflowPunct/>
        <w:bidi w:val="0"/>
        <w:snapToGrid/>
        <w:spacing w:line="560" w:lineRule="exact"/>
        <w:ind w:firstLine="645"/>
        <w:textAlignment w:val="auto"/>
        <w:rPr>
          <w:rFonts w:hint="eastAsia" w:ascii="黑体" w:hAnsi="黑体" w:eastAsia="黑体" w:cs="仿宋"/>
          <w:color w:val="000000"/>
          <w:sz w:val="32"/>
          <w:szCs w:val="32"/>
        </w:rPr>
      </w:pPr>
    </w:p>
    <w:p>
      <w:pPr>
        <w:pStyle w:val="15"/>
        <w:pageBreakBefore w:val="0"/>
        <w:kinsoku/>
        <w:wordWrap/>
        <w:overflowPunct/>
        <w:bidi w:val="0"/>
        <w:snapToGrid/>
        <w:spacing w:line="560" w:lineRule="exact"/>
        <w:ind w:firstLine="645"/>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大力加强和规范安全生产专业性行业协会、专业技术与管理服务机构等社会组织</w:t>
      </w:r>
      <w:r>
        <w:rPr>
          <w:rFonts w:hint="eastAsia" w:ascii="仿宋_GB2312" w:hAnsi="仿宋" w:eastAsia="仿宋_GB2312" w:cs="仿宋"/>
          <w:color w:val="000000"/>
          <w:sz w:val="32"/>
          <w:szCs w:val="32"/>
          <w:lang w:val="en-US" w:eastAsia="zh-CN"/>
        </w:rPr>
        <w:t>的</w:t>
      </w:r>
      <w:r>
        <w:rPr>
          <w:rFonts w:hint="eastAsia" w:ascii="仿宋_GB2312" w:hAnsi="仿宋" w:eastAsia="仿宋_GB2312" w:cs="仿宋"/>
          <w:color w:val="000000"/>
          <w:sz w:val="32"/>
          <w:szCs w:val="32"/>
        </w:rPr>
        <w:t>管理。坚持政策引导、部门推动、市场运作的原则，以安全生产服务需求为导向，以服务企业安全生产、服务政府安全监管监察、服务公众安全教育为主责，以提升安全生产社会治理能力为目标，坚持专项服务与综合服务相结合，搭建服务平台，壮大服务市场，规范服务行为，更好地为安全生产和职业健康提供技术服务、责任保险、专业人才、安全培训、科技支撑、行业组织等社会化服务，加快建立主体多元、覆盖全面、综合配套、机制灵活、运转高效的新型安全生产社会化服务体系，不断提高安全生产和职业健康工作服务水平。完善政府购买服务制度。发挥市场配置的决定性作用，激发企业安全发展内在动力。健全安全生产责任保险的政策引导、政府推动、市场运作、生产经营单位参与的工作机制。完善安全生产诚信体系，营造诚信守法的安全生产市场环境，推行安全生产企业“黑名单”制度，研究制定对失信行为的制约措施和惩戒制度。</w:t>
      </w:r>
    </w:p>
    <w:p>
      <w:pPr>
        <w:pStyle w:val="15"/>
        <w:pageBreakBefore w:val="0"/>
        <w:kinsoku/>
        <w:wordWrap/>
        <w:overflowPunct/>
        <w:bidi w:val="0"/>
        <w:snapToGrid/>
        <w:spacing w:line="560" w:lineRule="exact"/>
        <w:ind w:firstLine="645"/>
        <w:textAlignment w:val="auto"/>
        <w:rPr>
          <w:rFonts w:hint="eastAsia" w:ascii="仿宋_GB2312" w:hAnsi="仿宋" w:eastAsia="仿宋_GB2312" w:cs="仿宋"/>
          <w:color w:val="000000"/>
          <w:sz w:val="32"/>
          <w:szCs w:val="32"/>
        </w:rPr>
      </w:pPr>
    </w:p>
    <w:p>
      <w:pPr>
        <w:pStyle w:val="31"/>
        <w:pageBreakBefore w:val="0"/>
        <w:kinsoku/>
        <w:wordWrap/>
        <w:overflowPunct/>
        <w:bidi w:val="0"/>
        <w:snapToGrid/>
        <w:spacing w:before="0" w:beforeLines="0" w:after="0" w:afterLines="0" w:line="560" w:lineRule="exact"/>
        <w:ind w:left="0" w:firstLine="0"/>
        <w:textAlignment w:val="auto"/>
        <w:rPr>
          <w:rFonts w:hint="eastAsia" w:ascii="方正小标宋_GBK" w:hAnsi="仿宋" w:eastAsia="方正小标宋_GBK" w:cs="仿宋"/>
          <w:color w:val="000000"/>
          <w:sz w:val="44"/>
        </w:rPr>
      </w:pPr>
      <w:bookmarkStart w:id="194" w:name="_Toc30821"/>
      <w:bookmarkStart w:id="195" w:name="_Toc24386"/>
      <w:bookmarkStart w:id="196" w:name="_Toc17914"/>
      <w:r>
        <w:rPr>
          <w:rFonts w:hint="eastAsia" w:ascii="方正小标宋_GBK" w:eastAsia="方正小标宋_GBK"/>
          <w:color w:val="000000"/>
          <w:sz w:val="44"/>
        </w:rPr>
        <w:t>第七章 全面推进依法行政</w:t>
      </w:r>
      <w:bookmarkEnd w:id="194"/>
      <w:bookmarkEnd w:id="195"/>
    </w:p>
    <w:p>
      <w:pPr>
        <w:pStyle w:val="37"/>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37"/>
        <w:pageBreakBefore w:val="0"/>
        <w:kinsoku/>
        <w:wordWrap/>
        <w:overflowPunct/>
        <w:bidi w:val="0"/>
        <w:snapToGrid/>
        <w:spacing w:line="560" w:lineRule="exact"/>
        <w:ind w:firstLine="640" w:firstLineChars="200"/>
        <w:textAlignment w:val="auto"/>
        <w:rPr>
          <w:rFonts w:hint="eastAsia" w:ascii="仿宋_GB2312"/>
          <w:color w:val="000000"/>
        </w:rPr>
      </w:pPr>
      <w:r>
        <w:rPr>
          <w:rFonts w:hint="eastAsia" w:ascii="仿宋_GB2312" w:hAnsi="仿宋" w:cs="仿宋"/>
          <w:color w:val="000000"/>
          <w:szCs w:val="32"/>
        </w:rPr>
        <w:t>完善依法行政的制度和程序，推行政府顾问和法律顾问制度。完善安全生产重大事项的专家论证、民意征集和听证制度，健全安全生产民主科学决策机制。完善执法标准，规范执法程序、方式，实施执法全过程记录和信息公开制度，强化日常监管执法工作。实施随机抽查</w:t>
      </w:r>
      <w:r>
        <w:rPr>
          <w:rFonts w:hint="eastAsia" w:ascii="仿宋_GB2312" w:hAnsi="仿宋" w:cs="仿宋"/>
          <w:color w:val="0000FF"/>
          <w:szCs w:val="32"/>
        </w:rPr>
        <w:t>、</w:t>
      </w:r>
      <w:r>
        <w:rPr>
          <w:rFonts w:hint="eastAsia" w:ascii="仿宋_GB2312" w:hAnsi="仿宋" w:cs="仿宋"/>
          <w:color w:val="000000" w:themeColor="text1"/>
          <w:szCs w:val="32"/>
          <w14:textFill>
            <w14:solidFill>
              <w14:schemeClr w14:val="tx1"/>
            </w14:solidFill>
          </w14:textFill>
        </w:rPr>
        <w:t>巡查</w:t>
      </w:r>
      <w:r>
        <w:rPr>
          <w:rFonts w:hint="eastAsia" w:ascii="仿宋_GB2312" w:hAnsi="仿宋" w:cs="仿宋"/>
          <w:color w:val="000000"/>
          <w:szCs w:val="32"/>
        </w:rPr>
        <w:t>制度，完善责任倒查机制。进一步完善“两法衔接”机制，对于行政执法过程中发现的涉嫌犯罪行为，及时移送司法机关处理。</w:t>
      </w:r>
    </w:p>
    <w:p>
      <w:pPr>
        <w:pStyle w:val="15"/>
        <w:pageBreakBefore w:val="0"/>
        <w:kinsoku/>
        <w:wordWrap/>
        <w:overflowPunct/>
        <w:bidi w:val="0"/>
        <w:snapToGrid/>
        <w:spacing w:line="560" w:lineRule="exact"/>
        <w:textAlignment w:val="auto"/>
        <w:rPr>
          <w:rFonts w:hint="eastAsia"/>
          <w:color w:val="000000"/>
        </w:rPr>
      </w:pPr>
    </w:p>
    <w:p>
      <w:pPr>
        <w:pStyle w:val="14"/>
        <w:pageBreakBefore w:val="0"/>
        <w:kinsoku/>
        <w:wordWrap/>
        <w:overflowPunct/>
        <w:bidi w:val="0"/>
        <w:snapToGrid/>
        <w:spacing w:line="560" w:lineRule="exact"/>
        <w:ind w:firstLine="632"/>
        <w:jc w:val="center"/>
        <w:textAlignment w:val="auto"/>
        <w:rPr>
          <w:rFonts w:hint="eastAsia"/>
          <w:color w:val="000000"/>
        </w:rPr>
      </w:pPr>
      <w:bookmarkStart w:id="197" w:name="_Toc17425"/>
    </w:p>
    <w:p>
      <w:pPr>
        <w:pStyle w:val="14"/>
        <w:pageBreakBefore w:val="0"/>
        <w:kinsoku/>
        <w:wordWrap/>
        <w:overflowPunct/>
        <w:bidi w:val="0"/>
        <w:snapToGrid/>
        <w:spacing w:line="560" w:lineRule="exact"/>
        <w:ind w:firstLine="872"/>
        <w:jc w:val="center"/>
        <w:textAlignment w:val="auto"/>
        <w:rPr>
          <w:rFonts w:hint="eastAsia" w:ascii="方正小标宋_GBK" w:eastAsia="方正小标宋_GBK"/>
          <w:color w:val="000000"/>
          <w:sz w:val="44"/>
          <w:szCs w:val="44"/>
        </w:rPr>
      </w:pPr>
      <w:r>
        <w:rPr>
          <w:rFonts w:hint="eastAsia" w:ascii="方正小标宋_GBK" w:eastAsia="方正小标宋_GBK"/>
          <w:color w:val="000000"/>
          <w:sz w:val="44"/>
          <w:szCs w:val="44"/>
        </w:rPr>
        <w:t>第八章  全面加强安全生产监管执法</w:t>
      </w:r>
      <w:bookmarkEnd w:id="196"/>
      <w:bookmarkEnd w:id="197"/>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rPr>
      </w:pPr>
      <w:r>
        <w:rPr>
          <w:rFonts w:hint="eastAsia" w:ascii="仿宋_GB2312" w:hAnsi="仿宋" w:eastAsia="仿宋_GB2312" w:cs="仿宋"/>
          <w:color w:val="000000"/>
          <w:sz w:val="32"/>
        </w:rPr>
        <w:t>全面加强安全生产监管执法工作，加大安全监管执法力度，提高监管执法能力，发挥监管执法工作的震慑作用，防范和减少违法违规生产经营导致的事故隐患或生产安全事故。</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198" w:name="_Toc31207"/>
      <w:bookmarkStart w:id="199" w:name="_Toc6420"/>
      <w:r>
        <w:rPr>
          <w:rFonts w:hint="eastAsia" w:ascii="黑体" w:hAnsi="黑体" w:eastAsia="黑体" w:cs="仿宋"/>
          <w:b w:val="0"/>
          <w:color w:val="000000"/>
        </w:rPr>
        <w:t>第一节  加大安全生产监管执法力度</w:t>
      </w:r>
      <w:bookmarkEnd w:id="198"/>
      <w:bookmarkEnd w:id="199"/>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持续深入开展“安全生产执法年”活动，严厉打击非法生产经营建设行为。坚持严格执法，对存在非法违法、违规违章行为的企业，依法严格落实停产整顿、关闭取缔、从重处罚和厉行问责“四个一律”的要求。从严查处违法违规、有隐患不治理甚至发生事故的企业。对逾期不履行安全生产行政决定的，依法采取行政强制措施或者向人民法院申请强制执行。</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200" w:name="_Toc867"/>
      <w:bookmarkStart w:id="201" w:name="_Toc9254"/>
      <w:r>
        <w:rPr>
          <w:rFonts w:hint="eastAsia" w:ascii="黑体" w:hAnsi="黑体" w:eastAsia="黑体" w:cs="仿宋"/>
          <w:b w:val="0"/>
          <w:color w:val="000000"/>
        </w:rPr>
        <w:t>第二节  推进监管执法体制机制建设</w:t>
      </w:r>
      <w:bookmarkEnd w:id="200"/>
      <w:bookmarkEnd w:id="201"/>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统筹推进安全生产监管执法与深化行政执法体制改革、乡镇街道行政体制改革和权责清单编制实施等工作，整体推进，健全监管执法机构，强化监管执法力量，逐步提高专业监管执法人员比例。探索实行派驻执法、委托执法等方式。健全完善各级政府统一领导，安全监管部门牵头，负有安全生产监督管理职责部门参与的安全生产联合执法长效机制，整合执法资源，形成联合执法合力。建立健全安全生产行政执法与刑事司法衔接工作机制，及时依法查处涉嫌犯罪的安全生产违法行为，形成强大的震慑力。改进安全生产监督检查方式，全面推进安全生产监督检查“双随机、一公开”工作，实施“阳光执法”，严格规范监管执法行为。</w:t>
      </w:r>
    </w:p>
    <w:p>
      <w:pPr>
        <w:pStyle w:val="15"/>
        <w:pageBreakBefore w:val="0"/>
        <w:kinsoku/>
        <w:wordWrap/>
        <w:overflowPunct/>
        <w:bidi w:val="0"/>
        <w:snapToGrid/>
        <w:spacing w:line="560" w:lineRule="exact"/>
        <w:ind w:firstLine="420" w:firstLineChars="200"/>
        <w:textAlignment w:val="auto"/>
        <w:rPr>
          <w:rFonts w:hint="eastAsia" w:ascii="仿宋_GB2312" w:hAnsi="仿宋" w:eastAsia="仿宋_GB2312"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202" w:name="_Toc19220"/>
      <w:bookmarkStart w:id="203" w:name="_Toc3597"/>
      <w:r>
        <w:rPr>
          <w:rFonts w:hint="eastAsia" w:ascii="黑体" w:hAnsi="黑体" w:eastAsia="黑体" w:cs="仿宋"/>
          <w:b w:val="0"/>
          <w:color w:val="000000"/>
        </w:rPr>
        <w:t>第三节  建设专业化的安全监管执法队伍</w:t>
      </w:r>
      <w:bookmarkEnd w:id="202"/>
      <w:bookmarkEnd w:id="203"/>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推进安全生产监管执法人员专业能力建设，优化人员队伍结构，建立与属地安全生产工作任务相匹配的安全监管执法人员队伍。实施安全监管执法人员培训工程，强化实操培训，提高安全生产监管执法工作质量。</w:t>
      </w:r>
    </w:p>
    <w:p>
      <w:pPr>
        <w:pStyle w:val="15"/>
        <w:pageBreakBefore w:val="0"/>
        <w:kinsoku/>
        <w:wordWrap/>
        <w:overflowPunct/>
        <w:bidi w:val="0"/>
        <w:snapToGrid/>
        <w:spacing w:line="560" w:lineRule="exact"/>
        <w:ind w:firstLine="420" w:firstLineChars="200"/>
        <w:textAlignment w:val="auto"/>
        <w:rPr>
          <w:rFonts w:hint="eastAsia" w:ascii="仿宋" w:hAnsi="仿宋" w:eastAsia="仿宋" w:cs="仿宋"/>
          <w:color w:val="000000"/>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204" w:name="_Toc29360"/>
      <w:bookmarkStart w:id="205" w:name="_Toc3014"/>
      <w:r>
        <w:rPr>
          <w:rFonts w:hint="eastAsia" w:ascii="黑体" w:hAnsi="黑体" w:eastAsia="黑体" w:cs="仿宋"/>
          <w:b w:val="0"/>
          <w:color w:val="000000"/>
        </w:rPr>
        <w:t>第四节  完善安全监管执法工作条件</w:t>
      </w:r>
      <w:bookmarkEnd w:id="204"/>
      <w:bookmarkEnd w:id="205"/>
    </w:p>
    <w:p>
      <w:pPr>
        <w:pStyle w:val="40"/>
        <w:pageBreakBefore w:val="0"/>
        <w:kinsoku/>
        <w:wordWrap/>
        <w:overflowPunct/>
        <w:bidi w:val="0"/>
        <w:snapToGrid/>
        <w:spacing w:line="560" w:lineRule="exact"/>
        <w:ind w:firstLine="632"/>
        <w:textAlignment w:val="auto"/>
        <w:rPr>
          <w:rFonts w:hint="eastAsia" w:ascii="仿宋" w:hAnsi="仿宋" w:eastAsia="仿宋" w:cs="仿宋"/>
          <w:color w:val="000000"/>
          <w:sz w:val="32"/>
          <w:szCs w:val="32"/>
        </w:rPr>
      </w:pPr>
    </w:p>
    <w:p>
      <w:pPr>
        <w:pStyle w:val="40"/>
        <w:pageBreakBefore w:val="0"/>
        <w:kinsoku/>
        <w:wordWrap/>
        <w:overflowPunct/>
        <w:bidi w:val="0"/>
        <w:snapToGrid/>
        <w:spacing w:line="560" w:lineRule="exact"/>
        <w:ind w:firstLine="632"/>
        <w:textAlignment w:val="auto"/>
        <w:rPr>
          <w:rFonts w:hint="eastAsia" w:ascii="仿宋_GB2312" w:hAnsi="仿宋" w:cs="仿宋"/>
          <w:color w:val="000000"/>
          <w:sz w:val="32"/>
          <w:szCs w:val="32"/>
        </w:rPr>
      </w:pPr>
      <w:r>
        <w:rPr>
          <w:rFonts w:hint="eastAsia" w:ascii="仿宋_GB2312" w:hAnsi="仿宋" w:cs="仿宋"/>
          <w:color w:val="000000"/>
          <w:sz w:val="32"/>
          <w:szCs w:val="32"/>
        </w:rPr>
        <w:t>推进安全监管部门执法工作标准化建设，逐步完善与安全监管执法能力建设标准相适应的工作条件和设施装备。加强监管执法工作信息化建设，建立信息化共享共用支撑平台，配备使用便携式移动执法终端，保障基层执法和应急救援用车，满足监管执法工作需要。</w:t>
      </w:r>
    </w:p>
    <w:tbl>
      <w:tblPr>
        <w:tblStyle w:val="7"/>
        <w:tblW w:w="885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9"/>
        <w:gridCol w:w="3041"/>
        <w:gridCol w:w="47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54" w:hRule="atLeast"/>
          <w:jc w:val="center"/>
        </w:trPr>
        <w:tc>
          <w:tcPr>
            <w:tcW w:w="8850" w:type="dxa"/>
            <w:gridSpan w:val="3"/>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b/>
                <w:bCs/>
                <w:color w:val="000000"/>
                <w:sz w:val="32"/>
                <w:szCs w:val="32"/>
              </w:rPr>
              <w:t>专栏11  安全生产监管执法“十三五”规划主要指标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09" w:hRule="atLeast"/>
          <w:jc w:val="center"/>
        </w:trPr>
        <w:tc>
          <w:tcPr>
            <w:tcW w:w="1099"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序号</w:t>
            </w:r>
          </w:p>
        </w:tc>
        <w:tc>
          <w:tcPr>
            <w:tcW w:w="3041"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指标名称</w:t>
            </w:r>
          </w:p>
        </w:tc>
        <w:tc>
          <w:tcPr>
            <w:tcW w:w="4710"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比率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1099"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1</w:t>
            </w:r>
          </w:p>
        </w:tc>
        <w:tc>
          <w:tcPr>
            <w:tcW w:w="3041" w:type="dxa"/>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安全监管部门执法监察标准化建设达标率</w:t>
            </w:r>
          </w:p>
        </w:tc>
        <w:tc>
          <w:tcPr>
            <w:tcW w:w="4710" w:type="dxa"/>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到2017年底，</w:t>
            </w:r>
            <w:r>
              <w:rPr>
                <w:rFonts w:hint="eastAsia" w:ascii="仿宋_GB2312" w:hAnsi="仿宋" w:eastAsia="仿宋_GB2312" w:cs="仿宋"/>
                <w:color w:val="000000"/>
                <w:sz w:val="32"/>
                <w:szCs w:val="32"/>
                <w:highlight w:val="none"/>
                <w:lang w:val="en-US" w:eastAsia="zh-CN"/>
              </w:rPr>
              <w:t>区</w:t>
            </w:r>
            <w:r>
              <w:rPr>
                <w:rFonts w:hint="eastAsia" w:ascii="仿宋_GB2312" w:hAnsi="仿宋" w:eastAsia="仿宋_GB2312" w:cs="仿宋"/>
                <w:color w:val="000000"/>
                <w:sz w:val="32"/>
                <w:szCs w:val="32"/>
                <w:highlight w:val="none"/>
              </w:rPr>
              <w:t>安全监管部门100%达标。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0" w:hRule="atLeast"/>
          <w:jc w:val="center"/>
        </w:trPr>
        <w:tc>
          <w:tcPr>
            <w:tcW w:w="1099"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2</w:t>
            </w:r>
          </w:p>
        </w:tc>
        <w:tc>
          <w:tcPr>
            <w:tcW w:w="3041" w:type="dxa"/>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监管执法信息系统使用率</w:t>
            </w:r>
          </w:p>
        </w:tc>
        <w:tc>
          <w:tcPr>
            <w:tcW w:w="4710" w:type="dxa"/>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到2017年底，全面运用监管执法信息系统，使用率100%。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5" w:hRule="atLeast"/>
          <w:jc w:val="center"/>
        </w:trPr>
        <w:tc>
          <w:tcPr>
            <w:tcW w:w="1099" w:type="dxa"/>
            <w:vAlign w:val="center"/>
          </w:tcPr>
          <w:p>
            <w:pPr>
              <w:pStyle w:val="15"/>
              <w:pageBreakBefore w:val="0"/>
              <w:kinsoku/>
              <w:wordWrap/>
              <w:overflowPunct/>
              <w:bidi w:val="0"/>
              <w:snapToGrid/>
              <w:spacing w:line="560" w:lineRule="exact"/>
              <w:jc w:val="center"/>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3</w:t>
            </w:r>
          </w:p>
        </w:tc>
        <w:tc>
          <w:tcPr>
            <w:tcW w:w="3041" w:type="dxa"/>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移动执法终端配置率</w:t>
            </w:r>
          </w:p>
        </w:tc>
        <w:tc>
          <w:tcPr>
            <w:tcW w:w="4710" w:type="dxa"/>
            <w:vAlign w:val="center"/>
          </w:tcPr>
          <w:p>
            <w:pPr>
              <w:pStyle w:val="15"/>
              <w:pageBreakBefore w:val="0"/>
              <w:kinsoku/>
              <w:wordWrap/>
              <w:overflowPunct/>
              <w:bidi w:val="0"/>
              <w:snapToGrid/>
              <w:spacing w:line="560" w:lineRule="exact"/>
              <w:textAlignment w:val="auto"/>
              <w:rPr>
                <w:rFonts w:hint="eastAsia" w:ascii="仿宋_GB2312" w:hAnsi="仿宋" w:eastAsia="仿宋_GB2312" w:cs="仿宋"/>
                <w:color w:val="000000"/>
                <w:sz w:val="32"/>
                <w:szCs w:val="32"/>
                <w:highlight w:val="none"/>
              </w:rPr>
            </w:pPr>
            <w:r>
              <w:rPr>
                <w:rFonts w:hint="eastAsia" w:ascii="仿宋_GB2312" w:hAnsi="仿宋" w:eastAsia="仿宋_GB2312" w:cs="仿宋"/>
                <w:color w:val="000000"/>
                <w:sz w:val="32"/>
                <w:szCs w:val="32"/>
                <w:highlight w:val="none"/>
              </w:rPr>
              <w:t>到2017年底，所有执法人员配备使用便携式移动执法终端，配置率达到100%。</w:t>
            </w:r>
          </w:p>
        </w:tc>
      </w:tr>
    </w:tbl>
    <w:p>
      <w:pPr>
        <w:pStyle w:val="14"/>
        <w:pageBreakBefore w:val="0"/>
        <w:kinsoku/>
        <w:wordWrap/>
        <w:overflowPunct/>
        <w:bidi w:val="0"/>
        <w:snapToGrid/>
        <w:spacing w:line="560" w:lineRule="exact"/>
        <w:ind w:firstLine="0" w:firstLineChars="0"/>
        <w:jc w:val="center"/>
        <w:textAlignment w:val="auto"/>
        <w:rPr>
          <w:rFonts w:hint="eastAsia"/>
          <w:color w:val="000000"/>
        </w:rPr>
      </w:pPr>
      <w:bookmarkStart w:id="206" w:name="_Toc30160"/>
    </w:p>
    <w:p>
      <w:pPr>
        <w:pStyle w:val="14"/>
        <w:pageBreakBefore w:val="0"/>
        <w:numPr>
          <w:ilvl w:val="0"/>
          <w:numId w:val="9"/>
        </w:numPr>
        <w:kinsoku/>
        <w:wordWrap/>
        <w:overflowPunct/>
        <w:bidi w:val="0"/>
        <w:snapToGrid/>
        <w:spacing w:line="560" w:lineRule="exact"/>
        <w:ind w:firstLine="872"/>
        <w:jc w:val="center"/>
        <w:textAlignment w:val="auto"/>
        <w:rPr>
          <w:rFonts w:hint="eastAsia" w:ascii="方正小标宋_GBK" w:eastAsia="方正小标宋_GBK"/>
          <w:color w:val="000000"/>
          <w:sz w:val="44"/>
          <w:szCs w:val="44"/>
        </w:rPr>
      </w:pPr>
      <w:r>
        <w:rPr>
          <w:rFonts w:hint="eastAsia" w:ascii="方正小标宋_GBK" w:eastAsia="方正小标宋_GBK"/>
          <w:color w:val="000000"/>
          <w:sz w:val="44"/>
          <w:szCs w:val="44"/>
        </w:rPr>
        <w:t xml:space="preserve"> </w:t>
      </w:r>
      <w:bookmarkStart w:id="207" w:name="_Toc21167"/>
      <w:r>
        <w:rPr>
          <w:rFonts w:hint="eastAsia" w:ascii="方正小标宋_GBK" w:eastAsia="方正小标宋_GBK"/>
          <w:color w:val="000000"/>
          <w:sz w:val="44"/>
          <w:szCs w:val="44"/>
        </w:rPr>
        <w:t xml:space="preserve"> 实施安全科技强安战略</w:t>
      </w:r>
      <w:bookmarkEnd w:id="206"/>
      <w:bookmarkEnd w:id="207"/>
    </w:p>
    <w:p>
      <w:pPr>
        <w:pStyle w:val="18"/>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p>
    <w:p>
      <w:pPr>
        <w:pStyle w:val="18"/>
        <w:pageBreakBefore w:val="0"/>
        <w:kinsoku/>
        <w:wordWrap/>
        <w:overflowPunct/>
        <w:bidi w:val="0"/>
        <w:snapToGrid/>
        <w:spacing w:line="560" w:lineRule="exact"/>
        <w:ind w:firstLine="640" w:firstLineChars="200"/>
        <w:textAlignment w:val="auto"/>
        <w:rPr>
          <w:rFonts w:hint="eastAsia" w:ascii="仿宋_GB2312" w:hAnsi="仿宋" w:cs="仿宋"/>
          <w:color w:val="000000"/>
        </w:rPr>
      </w:pPr>
      <w:r>
        <w:rPr>
          <w:rFonts w:hint="eastAsia" w:ascii="仿宋_GB2312" w:hAnsi="仿宋" w:cs="仿宋"/>
          <w:color w:val="000000"/>
        </w:rPr>
        <w:t xml:space="preserve">大力实施“科技强安战略”，积极研发应用一批先进安防技术，依靠科技创新有力提升安全技术装备和生产技术、工艺水平，依靠科技人才提升安全生产技术和管理水平，从根本上提高安全生产水平。  </w:t>
      </w:r>
    </w:p>
    <w:p>
      <w:pPr>
        <w:pStyle w:val="18"/>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p>
    <w:p>
      <w:pPr>
        <w:pStyle w:val="21"/>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08" w:name="_Toc6408"/>
      <w:bookmarkStart w:id="209" w:name="_Toc27181"/>
      <w:r>
        <w:rPr>
          <w:rFonts w:hint="eastAsia" w:ascii="黑体" w:hAnsi="黑体" w:eastAsia="黑体" w:cs="仿宋"/>
          <w:b w:val="0"/>
          <w:color w:val="000000"/>
        </w:rPr>
        <w:t>第一节  加强安全科技研发应用</w:t>
      </w:r>
      <w:bookmarkEnd w:id="208"/>
      <w:bookmarkEnd w:id="209"/>
    </w:p>
    <w:p>
      <w:pPr>
        <w:pStyle w:val="18"/>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18"/>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健全安全生产科技管理制度，完善安全生产科技投入和激励机制，引导和鼓励社会资源投入安全生产科技工作。推动国家科技计划（专项、基金）支持安全生产科研项目。建立完善安全生产科技项目库，组织开展安全生产共性、关键性、基础性理论研究，加强先进适用技术装备开发和推广应用，在城市轨道和公共交通、油气输送管道、建筑施工、危险化学品仓储、</w:t>
      </w:r>
      <w:r>
        <w:rPr>
          <w:rFonts w:hint="eastAsia" w:ascii="仿宋_GB2312" w:hAnsi="仿宋" w:cs="仿宋"/>
          <w:color w:val="000000"/>
          <w:szCs w:val="32"/>
          <w:u w:val="none"/>
          <w:shd w:val="clear"/>
        </w:rPr>
        <w:t>大型游乐设施</w:t>
      </w:r>
      <w:r>
        <w:rPr>
          <w:rFonts w:hint="eastAsia" w:ascii="仿宋_GB2312" w:hAnsi="仿宋" w:cs="仿宋"/>
          <w:color w:val="000000"/>
          <w:szCs w:val="32"/>
        </w:rPr>
        <w:t>等行业领域，应用一批先进安防技术。</w:t>
      </w:r>
    </w:p>
    <w:p>
      <w:pPr>
        <w:pStyle w:val="39"/>
        <w:pageBreakBefore w:val="0"/>
        <w:kinsoku/>
        <w:wordWrap/>
        <w:overflowPunct/>
        <w:bidi w:val="0"/>
        <w:snapToGrid/>
        <w:spacing w:line="560" w:lineRule="exact"/>
        <w:textAlignment w:val="auto"/>
        <w:rPr>
          <w:rFonts w:hint="eastAsia" w:ascii="仿宋" w:hAnsi="仿宋" w:eastAsia="仿宋" w:cs="仿宋"/>
          <w:color w:val="000000"/>
        </w:rPr>
      </w:pPr>
      <w:bookmarkStart w:id="210" w:name="_Toc6729"/>
      <w:bookmarkStart w:id="211" w:name="_Toc26870"/>
    </w:p>
    <w:p>
      <w:pPr>
        <w:pStyle w:val="3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12" w:name="_Toc6575"/>
      <w:r>
        <w:rPr>
          <w:rFonts w:hint="eastAsia" w:ascii="黑体" w:hAnsi="黑体" w:eastAsia="黑体" w:cs="仿宋"/>
          <w:b w:val="0"/>
          <w:color w:val="000000"/>
        </w:rPr>
        <w:t>第二节  推进安全生产技术支撑能力建设</w:t>
      </w:r>
      <w:bookmarkEnd w:id="210"/>
      <w:bookmarkEnd w:id="212"/>
    </w:p>
    <w:p>
      <w:pPr>
        <w:pStyle w:val="47"/>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47"/>
        <w:pageBreakBefore w:val="0"/>
        <w:kinsoku/>
        <w:wordWrap/>
        <w:overflowPunct/>
        <w:bidi w:val="0"/>
        <w:snapToGrid/>
        <w:spacing w:line="560" w:lineRule="exact"/>
        <w:ind w:firstLine="640" w:firstLineChars="200"/>
        <w:textAlignment w:val="auto"/>
        <w:rPr>
          <w:rFonts w:hint="eastAsia"/>
        </w:rPr>
      </w:pPr>
      <w:r>
        <w:rPr>
          <w:rFonts w:hint="eastAsia"/>
        </w:rPr>
        <w:t>依托科研单位和社会资源，搭建安全科技“产学研用”一体化平台，建立科技研发、检测检验、咨询认证与技术服务的工作平台，推动组建安全科技创新联盟，形成协同创新机制。按照国家安全监管职业能力建设要求，推进建设安全技术中心、应急救援指挥、调度统计、考试考核、危险化学品登记、宣传教育、检测检验和职业危害等安全监管技术支撑平台。推动安全生产专业技术服务机构的规范化、规模化发展，提升专业技术能力和综合服务水平。</w:t>
      </w:r>
    </w:p>
    <w:p>
      <w:pPr>
        <w:pStyle w:val="47"/>
        <w:pageBreakBefore w:val="0"/>
        <w:kinsoku/>
        <w:wordWrap/>
        <w:overflowPunct/>
        <w:bidi w:val="0"/>
        <w:snapToGrid/>
        <w:spacing w:line="560" w:lineRule="exact"/>
        <w:ind w:firstLine="640" w:firstLineChars="200"/>
        <w:textAlignment w:val="auto"/>
        <w:rPr>
          <w:rFonts w:hint="eastAsia"/>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213" w:name="_Toc5096"/>
      <w:r>
        <w:rPr>
          <w:rFonts w:hint="eastAsia" w:ascii="黑体" w:hAnsi="黑体" w:eastAsia="黑体" w:cs="仿宋"/>
          <w:b w:val="0"/>
          <w:color w:val="000000"/>
        </w:rPr>
        <w:t>第三节  加快安全生产信息化建设</w:t>
      </w:r>
      <w:bookmarkEnd w:id="211"/>
      <w:bookmarkEnd w:id="213"/>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加快安全监管信息化建设，加大云计算、物联网、大数据等现代信息技术在安全生产领域的应用，逐步实现安全生产各类数据的互联互通和共享，建立全面覆盖各地各类安全生产业务的“一张网”；形成覆盖生产经营单位安全生产各类信息的“一张表”；建成依托电子地图标示风险隐患和危险源等综合信息的电子“一张图”，提高安全监管工作针对性和精确度。充分利用大数据、物联网、移动互联网、云计算等先进技术，面向各级安全监管机构、安委会成员单位、企业和社会公众，搭建集安全生产综合监管、企业安全管理服务、安全生产公众服务、安委会成员单位统一互联、协同工作的综合信息平台。推进建设企业安全生产信息大数据平台，加强生产经营单位安全生产状况和监管执法的信息数据统计分析，逐步建立政府监管部门、生产经营单位、行业协会、其他市场主体间的信息共享机制。推进企业安全生产信息的开发利用和信息价值再造工程。</w:t>
      </w:r>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23"/>
        <w:pageBreakBefore w:val="0"/>
        <w:kinsoku/>
        <w:wordWrap/>
        <w:overflowPunct/>
        <w:bidi w:val="0"/>
        <w:snapToGrid/>
        <w:spacing w:line="560" w:lineRule="exact"/>
        <w:ind w:firstLine="632"/>
        <w:jc w:val="center"/>
        <w:textAlignment w:val="auto"/>
        <w:rPr>
          <w:rFonts w:hint="eastAsia" w:ascii="黑体" w:hAnsi="黑体" w:eastAsia="黑体" w:cs="仿宋"/>
          <w:b w:val="0"/>
          <w:color w:val="000000"/>
        </w:rPr>
      </w:pPr>
      <w:bookmarkStart w:id="214" w:name="_Toc2801"/>
      <w:bookmarkStart w:id="215" w:name="_Toc3091"/>
      <w:r>
        <w:rPr>
          <w:rFonts w:hint="eastAsia" w:ascii="黑体" w:hAnsi="黑体" w:eastAsia="黑体" w:cs="仿宋"/>
          <w:b w:val="0"/>
          <w:color w:val="000000"/>
        </w:rPr>
        <w:t>第四节  提升企业安全生产技术管理水平</w:t>
      </w:r>
      <w:bookmarkEnd w:id="214"/>
      <w:bookmarkEnd w:id="215"/>
    </w:p>
    <w:p>
      <w:pPr>
        <w:pStyle w:val="15"/>
        <w:pageBreakBefore w:val="0"/>
        <w:kinsoku/>
        <w:wordWrap/>
        <w:overflowPunct/>
        <w:bidi w:val="0"/>
        <w:snapToGrid/>
        <w:spacing w:line="560" w:lineRule="exact"/>
        <w:ind w:firstLine="640" w:firstLineChars="200"/>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 w:val="32"/>
          <w:szCs w:val="32"/>
        </w:rPr>
      </w:pPr>
      <w:r>
        <w:rPr>
          <w:rFonts w:hint="eastAsia" w:ascii="仿宋_GB2312" w:hAnsi="仿宋" w:eastAsia="仿宋_GB2312" w:cs="仿宋"/>
          <w:color w:val="000000"/>
          <w:sz w:val="32"/>
          <w:szCs w:val="32"/>
        </w:rPr>
        <w:t>推动企业建立健全现代化安全生产管理制度。引导企业加强安全专业技术人才的培养和引进工作，提高员工安全科技素养，充分尊重和发挥安全生产科技人才作用。加强产业政策引导，强化市场化激励约束机制，引导企业采用先进适用的安全生产新技术、新装备、新工艺和新标准，加快淘汰落后技术装备，优化生产作业流程，推进机械化、自动化、信息化建设，推动高危工作场所采用智能机器人代替人工劳作，加强自动化监控技术装备建设，推进无人化、智能化安全生产，从根本上提升企业安全生产水平。</w:t>
      </w:r>
    </w:p>
    <w:p>
      <w:pPr>
        <w:pStyle w:val="15"/>
        <w:pageBreakBefore w:val="0"/>
        <w:kinsoku/>
        <w:wordWrap/>
        <w:overflowPunct/>
        <w:bidi w:val="0"/>
        <w:snapToGrid/>
        <w:spacing w:line="560" w:lineRule="exact"/>
        <w:ind w:firstLine="645"/>
        <w:textAlignment w:val="auto"/>
        <w:rPr>
          <w:rFonts w:hint="eastAsia" w:ascii="仿宋" w:hAnsi="仿宋" w:eastAsia="仿宋" w:cs="仿宋"/>
          <w:color w:val="000000"/>
          <w:sz w:val="32"/>
          <w:szCs w:val="32"/>
        </w:rPr>
      </w:pPr>
    </w:p>
    <w:p>
      <w:pPr>
        <w:pStyle w:val="15"/>
        <w:pageBreakBefore w:val="0"/>
        <w:kinsoku/>
        <w:wordWrap/>
        <w:overflowPunct/>
        <w:bidi w:val="0"/>
        <w:snapToGrid/>
        <w:spacing w:line="560" w:lineRule="exact"/>
        <w:jc w:val="center"/>
        <w:textAlignment w:val="auto"/>
        <w:outlineLvl w:val="0"/>
        <w:rPr>
          <w:rFonts w:hint="eastAsia" w:ascii="方正小标宋_GBK" w:hAnsi="黑体" w:eastAsia="方正小标宋_GBK" w:cs="仿宋"/>
          <w:color w:val="000000"/>
          <w:sz w:val="44"/>
          <w:szCs w:val="44"/>
        </w:rPr>
      </w:pPr>
      <w:bookmarkStart w:id="216" w:name="_Toc13550"/>
      <w:r>
        <w:rPr>
          <w:rFonts w:hint="eastAsia" w:ascii="方正小标宋_GBK" w:hAnsi="黑体" w:eastAsia="方正小标宋_GBK" w:cs="仿宋"/>
          <w:color w:val="000000"/>
          <w:sz w:val="44"/>
          <w:szCs w:val="44"/>
        </w:rPr>
        <w:t xml:space="preserve">第十章  </w:t>
      </w:r>
      <w:r>
        <w:rPr>
          <w:rFonts w:hint="eastAsia" w:ascii="方正小标宋_GBK" w:hAnsi="黑体" w:eastAsia="方正小标宋_GBK"/>
          <w:color w:val="000000"/>
          <w:sz w:val="44"/>
          <w:szCs w:val="44"/>
        </w:rPr>
        <w:t>完善安全生产应急救援体系</w:t>
      </w:r>
      <w:bookmarkEnd w:id="216"/>
    </w:p>
    <w:p>
      <w:pPr>
        <w:pStyle w:val="34"/>
        <w:pageBreakBefore w:val="0"/>
        <w:kinsoku/>
        <w:wordWrap/>
        <w:overflowPunct/>
        <w:bidi w:val="0"/>
        <w:snapToGrid/>
        <w:spacing w:line="560" w:lineRule="exact"/>
        <w:textAlignment w:val="auto"/>
        <w:rPr>
          <w:rFonts w:hint="eastAsia" w:ascii="方正小标宋_GBK" w:hAnsi="仿宋" w:eastAsia="方正小标宋_GBK" w:cs="仿宋"/>
          <w:color w:val="000000"/>
          <w:sz w:val="44"/>
          <w:szCs w:val="44"/>
        </w:rPr>
      </w:pPr>
    </w:p>
    <w:p>
      <w:pPr>
        <w:pStyle w:val="34"/>
        <w:pageBreakBefore w:val="0"/>
        <w:kinsoku/>
        <w:wordWrap/>
        <w:overflowPunct/>
        <w:bidi w:val="0"/>
        <w:snapToGrid/>
        <w:spacing w:line="560" w:lineRule="exact"/>
        <w:textAlignment w:val="auto"/>
        <w:rPr>
          <w:rFonts w:hint="eastAsia" w:ascii="仿宋_GB2312" w:hAnsi="仿宋" w:cs="仿宋"/>
          <w:color w:val="000000"/>
        </w:rPr>
      </w:pPr>
      <w:r>
        <w:rPr>
          <w:rFonts w:hint="eastAsia" w:ascii="仿宋_GB2312" w:hAnsi="仿宋" w:cs="仿宋"/>
          <w:color w:val="000000"/>
        </w:rPr>
        <w:t xml:space="preserve">    全面加强安全生产应急救援能力建设，建立健全安全生产应急救援队伍体系，加强联合培训和演练，增强现场救援实效。</w:t>
      </w:r>
    </w:p>
    <w:p>
      <w:pPr>
        <w:pStyle w:val="33"/>
        <w:pageBreakBefore w:val="0"/>
        <w:kinsoku/>
        <w:wordWrap/>
        <w:overflowPunct/>
        <w:bidi w:val="0"/>
        <w:snapToGrid/>
        <w:spacing w:line="560" w:lineRule="exact"/>
        <w:jc w:val="center"/>
        <w:textAlignment w:val="auto"/>
        <w:rPr>
          <w:rFonts w:hint="eastAsia" w:ascii="仿宋" w:hAnsi="仿宋" w:eastAsia="仿宋" w:cs="仿宋"/>
          <w:color w:val="000000"/>
        </w:rPr>
      </w:pPr>
    </w:p>
    <w:p>
      <w:pPr>
        <w:pStyle w:val="33"/>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17" w:name="_Toc2332"/>
      <w:bookmarkStart w:id="218" w:name="_Toc7254"/>
      <w:r>
        <w:rPr>
          <w:rFonts w:hint="eastAsia" w:ascii="黑体" w:hAnsi="黑体" w:eastAsia="黑体" w:cs="仿宋"/>
          <w:b w:val="0"/>
          <w:color w:val="000000"/>
        </w:rPr>
        <w:t>第一节  健全应急管理体制机制</w:t>
      </w:r>
      <w:bookmarkEnd w:id="217"/>
      <w:bookmarkEnd w:id="218"/>
    </w:p>
    <w:p>
      <w:pPr>
        <w:pStyle w:val="34"/>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34"/>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全面加强</w:t>
      </w:r>
      <w:r>
        <w:rPr>
          <w:rFonts w:hint="eastAsia" w:ascii="仿宋_GB2312" w:hAnsi="仿宋" w:cs="仿宋"/>
          <w:color w:val="000000"/>
          <w:szCs w:val="32"/>
          <w:lang w:val="en-US" w:eastAsia="zh-CN"/>
        </w:rPr>
        <w:t>区政府</w:t>
      </w:r>
      <w:r>
        <w:rPr>
          <w:rFonts w:hint="eastAsia" w:ascii="仿宋_GB2312" w:hAnsi="仿宋" w:cs="仿宋"/>
          <w:color w:val="000000"/>
          <w:szCs w:val="32"/>
        </w:rPr>
        <w:t>安全生产应急管理能力建设，充实基础力量，提高应急管理能力和救援决策水平；推动各相关职能部门和乡镇、街道办事处等基层政府加强安全生产应急管理能力建设。推进大中型企业、高危行业企业全部设置或指定安全生产应急管理机构，配备专职或兼职安全生产应急管理人员。加强与各相关职能部门、企业和应急救援</w:t>
      </w:r>
      <w:r>
        <w:rPr>
          <w:rFonts w:hint="eastAsia" w:ascii="仿宋_GB2312" w:hAnsi="仿宋" w:cs="仿宋"/>
          <w:color w:val="000000"/>
          <w:szCs w:val="32"/>
          <w:highlight w:val="none"/>
        </w:rPr>
        <w:t>队间</w:t>
      </w:r>
      <w:r>
        <w:rPr>
          <w:rFonts w:hint="eastAsia" w:ascii="仿宋_GB2312" w:hAnsi="仿宋" w:cs="仿宋"/>
          <w:color w:val="000000"/>
          <w:szCs w:val="32"/>
        </w:rPr>
        <w:t>的应急协作，形成应急救援工作联络网；梳理区域间应急联动机制建设工作，着力从“重机制建设”转向“重机制运用”上来，建立新型应对重特大生产安全事故的跨区域应急联动机制。</w:t>
      </w:r>
    </w:p>
    <w:p>
      <w:pPr>
        <w:pStyle w:val="34"/>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33"/>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19" w:name="_Toc11936"/>
      <w:bookmarkStart w:id="220" w:name="_Toc1235"/>
      <w:r>
        <w:rPr>
          <w:rFonts w:hint="eastAsia" w:ascii="黑体" w:hAnsi="黑体" w:eastAsia="黑体" w:cs="仿宋"/>
          <w:b w:val="0"/>
          <w:color w:val="000000"/>
        </w:rPr>
        <w:t>第</w:t>
      </w:r>
      <w:r>
        <w:rPr>
          <w:rFonts w:hint="eastAsia" w:ascii="黑体" w:hAnsi="黑体" w:eastAsia="黑体" w:cs="仿宋"/>
          <w:b w:val="0"/>
          <w:color w:val="000000"/>
          <w:lang w:val="en-US" w:eastAsia="zh-CN"/>
        </w:rPr>
        <w:t>二</w:t>
      </w:r>
      <w:r>
        <w:rPr>
          <w:rFonts w:hint="eastAsia" w:ascii="黑体" w:hAnsi="黑体" w:eastAsia="黑体" w:cs="仿宋"/>
          <w:b w:val="0"/>
          <w:color w:val="000000"/>
        </w:rPr>
        <w:t>节  完善应急预案与应急平台体系</w:t>
      </w:r>
      <w:bookmarkEnd w:id="219"/>
      <w:bookmarkEnd w:id="220"/>
    </w:p>
    <w:p>
      <w:pPr>
        <w:pStyle w:val="40"/>
        <w:pageBreakBefore w:val="0"/>
        <w:kinsoku/>
        <w:wordWrap/>
        <w:overflowPunct/>
        <w:bidi w:val="0"/>
        <w:snapToGrid/>
        <w:spacing w:line="560" w:lineRule="exact"/>
        <w:ind w:firstLine="632"/>
        <w:textAlignment w:val="auto"/>
        <w:rPr>
          <w:rFonts w:hint="eastAsia" w:ascii="仿宋" w:hAnsi="仿宋" w:eastAsia="仿宋" w:cs="仿宋"/>
          <w:color w:val="000000"/>
          <w:sz w:val="32"/>
          <w:szCs w:val="32"/>
        </w:rPr>
      </w:pPr>
    </w:p>
    <w:p>
      <w:pPr>
        <w:pStyle w:val="40"/>
        <w:pageBreakBefore w:val="0"/>
        <w:shd w:val="clear"/>
        <w:kinsoku/>
        <w:wordWrap/>
        <w:overflowPunct/>
        <w:bidi w:val="0"/>
        <w:snapToGrid/>
        <w:spacing w:line="560" w:lineRule="exact"/>
        <w:ind w:firstLine="632"/>
        <w:textAlignment w:val="auto"/>
        <w:rPr>
          <w:rFonts w:hint="eastAsia" w:ascii="仿宋_GB2312" w:hAnsi="仿宋" w:cs="仿宋"/>
          <w:color w:val="000000"/>
          <w:sz w:val="32"/>
          <w:szCs w:val="32"/>
          <w:highlight w:val="none"/>
        </w:rPr>
      </w:pPr>
      <w:r>
        <w:rPr>
          <w:rFonts w:hint="eastAsia" w:ascii="仿宋_GB2312" w:hAnsi="仿宋" w:cs="仿宋"/>
          <w:color w:val="000000"/>
          <w:sz w:val="32"/>
          <w:szCs w:val="32"/>
          <w:highlight w:val="none"/>
        </w:rPr>
        <w:t>建立健全应急预案管理制度，完善应急预案衔接机制。创新应急演练模式，推广应急预案桌面模拟和实战演练，提升演练实效。推进我</w:t>
      </w:r>
      <w:r>
        <w:rPr>
          <w:rFonts w:hint="eastAsia" w:ascii="仿宋_GB2312" w:hAnsi="仿宋" w:cs="仿宋"/>
          <w:color w:val="000000"/>
          <w:sz w:val="32"/>
          <w:szCs w:val="32"/>
          <w:highlight w:val="none"/>
          <w:lang w:val="en-US" w:eastAsia="zh-CN"/>
        </w:rPr>
        <w:t>区</w:t>
      </w:r>
      <w:r>
        <w:rPr>
          <w:rFonts w:hint="eastAsia" w:ascii="仿宋_GB2312" w:hAnsi="仿宋" w:cs="仿宋"/>
          <w:color w:val="000000"/>
          <w:sz w:val="32"/>
          <w:szCs w:val="32"/>
          <w:highlight w:val="none"/>
        </w:rPr>
        <w:t>安全生产应急救援平台建设。建立各地安全生产应急预警机制，加强与气象部门突发事件预警信息平台等信息共享与对接，及时发布地区安全生产预警信息。</w:t>
      </w:r>
    </w:p>
    <w:p>
      <w:pPr>
        <w:pStyle w:val="40"/>
        <w:pageBreakBefore w:val="0"/>
        <w:kinsoku/>
        <w:wordWrap/>
        <w:overflowPunct/>
        <w:bidi w:val="0"/>
        <w:snapToGrid/>
        <w:spacing w:line="560" w:lineRule="exact"/>
        <w:ind w:firstLine="632"/>
        <w:textAlignment w:val="auto"/>
        <w:rPr>
          <w:rFonts w:hint="eastAsia" w:ascii="仿宋" w:hAnsi="仿宋" w:eastAsia="仿宋" w:cs="仿宋"/>
          <w:color w:val="000000"/>
          <w:sz w:val="32"/>
          <w:szCs w:val="32"/>
        </w:rPr>
      </w:pPr>
    </w:p>
    <w:p>
      <w:pPr>
        <w:pStyle w:val="50"/>
        <w:pageBreakBefore w:val="0"/>
        <w:kinsoku/>
        <w:wordWrap/>
        <w:overflowPunct/>
        <w:bidi w:val="0"/>
        <w:snapToGrid/>
        <w:spacing w:before="0" w:beforeLines="0" w:after="0" w:afterLines="0" w:line="560" w:lineRule="exact"/>
        <w:ind w:left="0" w:firstLine="0"/>
        <w:textAlignment w:val="auto"/>
        <w:rPr>
          <w:rFonts w:hint="eastAsia" w:ascii="方正小标宋_GBK" w:hAnsi="黑体" w:eastAsia="方正小标宋_GBK"/>
          <w:color w:val="000000"/>
          <w:sz w:val="44"/>
        </w:rPr>
      </w:pPr>
      <w:bookmarkStart w:id="221" w:name="_Toc6161"/>
      <w:bookmarkStart w:id="222" w:name="_Toc394"/>
      <w:r>
        <w:rPr>
          <w:rFonts w:hint="eastAsia" w:ascii="方正小标宋_GBK" w:hAnsi="黑体" w:eastAsia="方正小标宋_GBK"/>
          <w:color w:val="000000"/>
          <w:sz w:val="44"/>
        </w:rPr>
        <w:t>第十一章  提高全民安全生产综合素质</w:t>
      </w:r>
      <w:bookmarkEnd w:id="221"/>
      <w:bookmarkEnd w:id="222"/>
    </w:p>
    <w:p>
      <w:pPr>
        <w:pStyle w:val="20"/>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p>
    <w:p>
      <w:pPr>
        <w:pStyle w:val="20"/>
        <w:pageBreakBefore w:val="0"/>
        <w:kinsoku/>
        <w:wordWrap/>
        <w:overflowPunct/>
        <w:bidi w:val="0"/>
        <w:snapToGrid/>
        <w:spacing w:line="560" w:lineRule="exact"/>
        <w:ind w:firstLine="640" w:firstLineChars="200"/>
        <w:textAlignment w:val="auto"/>
        <w:rPr>
          <w:rFonts w:hint="eastAsia" w:ascii="仿宋_GB2312" w:hAnsi="仿宋" w:cs="仿宋"/>
          <w:color w:val="000000"/>
        </w:rPr>
      </w:pPr>
      <w:r>
        <w:rPr>
          <w:rFonts w:hint="eastAsia" w:ascii="仿宋_GB2312" w:hAnsi="仿宋" w:cs="仿宋"/>
          <w:color w:val="000000"/>
        </w:rPr>
        <w:t>加强全民安全生产政策、法规、标准和文化知识的宣传普及教育，提高全民安全生产意识和能力，动员并增强安全生产社会共治力量。</w:t>
      </w:r>
    </w:p>
    <w:p>
      <w:pPr>
        <w:pStyle w:val="19"/>
        <w:pageBreakBefore w:val="0"/>
        <w:kinsoku/>
        <w:wordWrap/>
        <w:overflowPunct/>
        <w:bidi w:val="0"/>
        <w:snapToGrid/>
        <w:spacing w:line="560" w:lineRule="exact"/>
        <w:jc w:val="center"/>
        <w:textAlignment w:val="auto"/>
        <w:rPr>
          <w:rFonts w:hint="eastAsia" w:ascii="仿宋" w:hAnsi="仿宋" w:eastAsia="仿宋" w:cs="仿宋"/>
          <w:color w:val="000000"/>
        </w:rPr>
      </w:pPr>
    </w:p>
    <w:p>
      <w:pPr>
        <w:pStyle w:val="1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23" w:name="_Toc4714"/>
      <w:bookmarkStart w:id="224" w:name="_Toc20930"/>
      <w:r>
        <w:rPr>
          <w:rFonts w:hint="eastAsia" w:ascii="黑体" w:hAnsi="黑体" w:eastAsia="黑体" w:cs="仿宋"/>
          <w:b w:val="0"/>
          <w:color w:val="000000"/>
        </w:rPr>
        <w:t>第</w:t>
      </w:r>
      <w:r>
        <w:rPr>
          <w:rFonts w:hint="eastAsia" w:ascii="黑体" w:hAnsi="黑体" w:eastAsia="黑体" w:cs="仿宋"/>
          <w:b w:val="0"/>
          <w:color w:val="000000"/>
          <w:lang w:val="en-US" w:eastAsia="zh-CN"/>
        </w:rPr>
        <w:t>一</w:t>
      </w:r>
      <w:r>
        <w:rPr>
          <w:rFonts w:hint="eastAsia" w:ascii="黑体" w:hAnsi="黑体" w:eastAsia="黑体" w:cs="仿宋"/>
          <w:b w:val="0"/>
          <w:color w:val="000000"/>
        </w:rPr>
        <w:t>节  推进全民安全宣传教育</w:t>
      </w:r>
      <w:bookmarkEnd w:id="223"/>
      <w:bookmarkEnd w:id="224"/>
    </w:p>
    <w:p>
      <w:pPr>
        <w:pStyle w:val="20"/>
        <w:pageBreakBefore w:val="0"/>
        <w:kinsoku/>
        <w:wordWrap/>
        <w:overflowPunct/>
        <w:bidi w:val="0"/>
        <w:snapToGrid/>
        <w:spacing w:line="560" w:lineRule="exact"/>
        <w:ind w:firstLine="640" w:firstLineChars="200"/>
        <w:textAlignment w:val="auto"/>
        <w:rPr>
          <w:rFonts w:hint="eastAsia" w:ascii="黑体" w:hAnsi="黑体" w:eastAsia="黑体" w:cs="仿宋"/>
          <w:color w:val="000000"/>
          <w:szCs w:val="32"/>
        </w:rPr>
      </w:pPr>
    </w:p>
    <w:p>
      <w:pPr>
        <w:pStyle w:val="20"/>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推进安全宣传教育进企业、进学校、进机关、进社区、进农村、进家庭、进公共场所。加强公共媒体的报道和公益宣传，推进安全知识的全民普及教育。强化企业安全教育主体责任、落实企业全员安全教育、重点岗位人员培训和持证上岗制度。发展安全生产职业技术教育和在职教育，支持有条件的企业、工业（化工）园区、安全技术科研机构建设安全培训基地，共建校外实践教育基地，承担职工培训和继续教育。实施地方政府安全生产分管领导安全培训教育工程，加强安全生产监管执法队伍培训教育。</w:t>
      </w:r>
    </w:p>
    <w:p>
      <w:pPr>
        <w:pStyle w:val="20"/>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19"/>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25" w:name="_Toc25285"/>
      <w:bookmarkStart w:id="226" w:name="_Toc22842"/>
      <w:r>
        <w:rPr>
          <w:rFonts w:hint="eastAsia" w:ascii="黑体" w:hAnsi="黑体" w:eastAsia="黑体" w:cs="仿宋"/>
          <w:b w:val="0"/>
          <w:color w:val="000000"/>
        </w:rPr>
        <w:t>第</w:t>
      </w:r>
      <w:r>
        <w:rPr>
          <w:rFonts w:hint="eastAsia" w:ascii="黑体" w:hAnsi="黑体" w:eastAsia="黑体" w:cs="仿宋"/>
          <w:b w:val="0"/>
          <w:color w:val="000000"/>
          <w:lang w:val="en-US" w:eastAsia="zh-CN"/>
        </w:rPr>
        <w:t>二</w:t>
      </w:r>
      <w:r>
        <w:rPr>
          <w:rFonts w:hint="eastAsia" w:ascii="黑体" w:hAnsi="黑体" w:eastAsia="黑体" w:cs="仿宋"/>
          <w:b w:val="0"/>
          <w:color w:val="000000"/>
        </w:rPr>
        <w:t>节  加强安全文化建设</w:t>
      </w:r>
      <w:bookmarkEnd w:id="225"/>
      <w:bookmarkEnd w:id="226"/>
    </w:p>
    <w:p>
      <w:pPr>
        <w:pStyle w:val="20"/>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20"/>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加强安全科普书籍、影视（微视频）、动漫、游戏、公益广告等文化教育产品的生产、宣传和推广。持续深入开展“安全生产月”、广东省安全知识竞赛暨粤港澳安全知识竞赛、“安康杯”安全知识竞赛、“青年安全示范岗”、“安全科技周”等安全生产宣传教育品牌活动。积极利用微博、微信等新媒体，以及集体采访、专题报道、深度报道、网站做客等方式加强安全生产政策法规和常识技能宣传教育，弘扬安全文化。加强安全文艺创作，积极开展群众性安全文艺活动。积极倡导和促进安全文化社区、安全文化建设示范企业创建工作，推进企业安全文化软实力和安全文化品牌建设。</w:t>
      </w:r>
    </w:p>
    <w:tbl>
      <w:tblPr>
        <w:tblStyle w:val="7"/>
        <w:tblW w:w="8980"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2" w:hRule="atLeast"/>
          <w:jc w:val="center"/>
        </w:trPr>
        <w:tc>
          <w:tcPr>
            <w:tcW w:w="8980" w:type="dxa"/>
            <w:vAlign w:val="top"/>
          </w:tcPr>
          <w:p>
            <w:pPr>
              <w:pStyle w:val="20"/>
              <w:pageBreakBefore w:val="0"/>
              <w:tabs>
                <w:tab w:val="left" w:pos="3163"/>
              </w:tabs>
              <w:kinsoku/>
              <w:wordWrap/>
              <w:overflowPunct/>
              <w:bidi w:val="0"/>
              <w:snapToGrid/>
              <w:spacing w:line="560" w:lineRule="exact"/>
              <w:jc w:val="center"/>
              <w:textAlignment w:val="auto"/>
              <w:rPr>
                <w:rFonts w:hint="eastAsia" w:ascii="仿宋_GB2312" w:hAnsi="仿宋" w:cs="仿宋"/>
                <w:color w:val="000000"/>
                <w:szCs w:val="32"/>
              </w:rPr>
            </w:pPr>
            <w:r>
              <w:rPr>
                <w:rFonts w:hint="eastAsia" w:ascii="仿宋_GB2312" w:hAnsi="仿宋" w:cs="仿宋"/>
                <w:b/>
                <w:bCs/>
                <w:color w:val="000000"/>
                <w:szCs w:val="32"/>
              </w:rPr>
              <w:t>专栏12 “十三五”时期安全生产培训工作重点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28" w:hRule="atLeast"/>
          <w:jc w:val="center"/>
        </w:trPr>
        <w:tc>
          <w:tcPr>
            <w:tcW w:w="8980" w:type="dxa"/>
            <w:vAlign w:val="top"/>
          </w:tcPr>
          <w:p>
            <w:pPr>
              <w:pStyle w:val="20"/>
              <w:pageBreakBefore w:val="0"/>
              <w:tabs>
                <w:tab w:val="left" w:pos="3163"/>
              </w:tabs>
              <w:kinsoku/>
              <w:wordWrap/>
              <w:overflowPunct/>
              <w:bidi w:val="0"/>
              <w:snapToGrid/>
              <w:spacing w:line="560" w:lineRule="exact"/>
              <w:jc w:val="left"/>
              <w:textAlignment w:val="auto"/>
              <w:rPr>
                <w:rFonts w:hint="eastAsia" w:ascii="仿宋_GB2312" w:hAnsi="仿宋" w:cs="仿宋"/>
                <w:bCs/>
                <w:color w:val="000000"/>
                <w:szCs w:val="32"/>
              </w:rPr>
            </w:pPr>
            <w:r>
              <w:rPr>
                <w:rFonts w:hint="eastAsia" w:ascii="仿宋_GB2312" w:hAnsi="仿宋" w:cs="仿宋"/>
                <w:b/>
                <w:bCs/>
                <w:color w:val="000000"/>
                <w:szCs w:val="32"/>
              </w:rPr>
              <w:t>进一步落实企业的安全培训主体责任。</w:t>
            </w:r>
            <w:r>
              <w:rPr>
                <w:rFonts w:hint="eastAsia" w:ascii="仿宋_GB2312" w:hAnsi="仿宋" w:cs="仿宋"/>
                <w:color w:val="000000"/>
                <w:szCs w:val="32"/>
              </w:rPr>
              <w:t>推动安全生产全员培训、重点岗位人员培训和持证上岗制度。2018年底前，班组长、新工人、外来务工人员等重点从业人员100%培训合格后上岗；用人单位主要负责人安全生产和职业卫生培训率达90%，存在职业危害风险的用人单位主要负责人与职业卫生管理人员培训率达95%。2020年培训率全部达100%。</w:t>
            </w:r>
          </w:p>
        </w:tc>
      </w:tr>
    </w:tbl>
    <w:p>
      <w:pPr>
        <w:pStyle w:val="28"/>
        <w:pageBreakBefore w:val="0"/>
        <w:kinsoku/>
        <w:wordWrap/>
        <w:overflowPunct/>
        <w:bidi w:val="0"/>
        <w:snapToGrid/>
        <w:spacing w:before="0" w:beforeLines="0" w:after="0" w:afterLines="0" w:line="560" w:lineRule="exact"/>
        <w:ind w:left="0" w:firstLine="0"/>
        <w:jc w:val="center"/>
        <w:textAlignment w:val="auto"/>
        <w:rPr>
          <w:rFonts w:hint="eastAsia" w:ascii="方正小标宋_GBK" w:hAnsi="黑体" w:eastAsia="方正小标宋_GBK"/>
          <w:color w:val="000000"/>
          <w:sz w:val="44"/>
        </w:rPr>
      </w:pPr>
      <w:bookmarkStart w:id="227" w:name="_Toc5060"/>
      <w:bookmarkStart w:id="228" w:name="_Toc13442"/>
    </w:p>
    <w:p>
      <w:pPr>
        <w:pStyle w:val="28"/>
        <w:pageBreakBefore w:val="0"/>
        <w:kinsoku/>
        <w:wordWrap/>
        <w:overflowPunct/>
        <w:bidi w:val="0"/>
        <w:snapToGrid/>
        <w:spacing w:before="0" w:beforeLines="0" w:after="0" w:afterLines="0" w:line="560" w:lineRule="exact"/>
        <w:ind w:left="0" w:firstLine="0"/>
        <w:jc w:val="center"/>
        <w:textAlignment w:val="auto"/>
        <w:rPr>
          <w:rFonts w:hint="eastAsia" w:ascii="方正小标宋_GBK" w:hAnsi="黑体" w:eastAsia="方正小标宋_GBK"/>
          <w:color w:val="000000"/>
          <w:sz w:val="44"/>
        </w:rPr>
      </w:pPr>
      <w:r>
        <w:rPr>
          <w:rFonts w:hint="eastAsia" w:ascii="方正小标宋_GBK" w:hAnsi="黑体" w:eastAsia="方正小标宋_GBK"/>
          <w:color w:val="000000"/>
          <w:sz w:val="44"/>
        </w:rPr>
        <w:t>第十二章  着力实施安全生产重大项目</w:t>
      </w:r>
      <w:bookmarkEnd w:id="227"/>
      <w:bookmarkEnd w:id="228"/>
    </w:p>
    <w:p>
      <w:pPr>
        <w:pStyle w:val="25"/>
        <w:pageBreakBefore w:val="0"/>
        <w:kinsoku/>
        <w:wordWrap/>
        <w:overflowPunct/>
        <w:bidi w:val="0"/>
        <w:snapToGrid/>
        <w:spacing w:line="560" w:lineRule="exact"/>
        <w:ind w:firstLine="640" w:firstLineChars="200"/>
        <w:textAlignment w:val="auto"/>
        <w:rPr>
          <w:rFonts w:hint="eastAsia" w:ascii="仿宋_GB2312" w:hAnsi="仿宋" w:cs="仿宋"/>
          <w:color w:val="000000"/>
        </w:rPr>
      </w:pPr>
    </w:p>
    <w:p>
      <w:pPr>
        <w:pStyle w:val="25"/>
        <w:pageBreakBefore w:val="0"/>
        <w:kinsoku/>
        <w:wordWrap/>
        <w:overflowPunct/>
        <w:bidi w:val="0"/>
        <w:snapToGrid/>
        <w:spacing w:line="560" w:lineRule="exact"/>
        <w:ind w:firstLine="640" w:firstLineChars="200"/>
        <w:textAlignment w:val="auto"/>
        <w:rPr>
          <w:rFonts w:hint="eastAsia" w:ascii="仿宋_GB2312" w:hAnsi="仿宋" w:cs="仿宋"/>
          <w:color w:val="000000"/>
        </w:rPr>
      </w:pPr>
      <w:r>
        <w:rPr>
          <w:rFonts w:hint="eastAsia" w:ascii="仿宋_GB2312" w:hAnsi="仿宋" w:cs="仿宋"/>
          <w:color w:val="000000"/>
        </w:rPr>
        <w:t>加强安全生产重大项目建设，以项目为载体推动规划任务落实，提升安全生产总体水平。</w:t>
      </w:r>
    </w:p>
    <w:p>
      <w:pPr>
        <w:pStyle w:val="25"/>
        <w:pageBreakBefore w:val="0"/>
        <w:kinsoku/>
        <w:wordWrap/>
        <w:overflowPunct/>
        <w:bidi w:val="0"/>
        <w:snapToGrid/>
        <w:spacing w:line="560" w:lineRule="exact"/>
        <w:textAlignment w:val="auto"/>
        <w:rPr>
          <w:rFonts w:hint="eastAsia" w:ascii="仿宋_GB2312" w:hAnsi="仿宋" w:cs="仿宋"/>
          <w:color w:val="000000"/>
          <w:szCs w:val="32"/>
        </w:rPr>
      </w:pPr>
      <w:r>
        <w:rPr>
          <w:rFonts w:hint="eastAsia" w:ascii="仿宋_GB2312" w:hAnsi="仿宋" w:cs="仿宋"/>
          <w:color w:val="000000"/>
          <w:szCs w:val="32"/>
        </w:rPr>
        <w:t xml:space="preserve"> </w:t>
      </w:r>
    </w:p>
    <w:p>
      <w:pPr>
        <w:pStyle w:val="43"/>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29" w:name="_Toc10909"/>
      <w:bookmarkStart w:id="230" w:name="_Toc25712"/>
      <w:r>
        <w:rPr>
          <w:rFonts w:hint="eastAsia" w:ascii="黑体" w:hAnsi="黑体" w:eastAsia="黑体" w:cs="仿宋"/>
          <w:b w:val="0"/>
          <w:color w:val="000000"/>
        </w:rPr>
        <w:t>第</w:t>
      </w:r>
      <w:r>
        <w:rPr>
          <w:rFonts w:hint="eastAsia" w:ascii="黑体" w:hAnsi="黑体" w:eastAsia="黑体" w:cs="仿宋"/>
          <w:b w:val="0"/>
          <w:color w:val="000000"/>
          <w:lang w:val="en-US" w:eastAsia="zh-CN"/>
        </w:rPr>
        <w:t>一</w:t>
      </w:r>
      <w:r>
        <w:rPr>
          <w:rFonts w:hint="eastAsia" w:ascii="黑体" w:hAnsi="黑体" w:eastAsia="黑体" w:cs="仿宋"/>
          <w:b w:val="0"/>
          <w:color w:val="000000"/>
        </w:rPr>
        <w:t>节  推进安全生产技术支撑平台项目建设</w:t>
      </w:r>
      <w:bookmarkEnd w:id="229"/>
      <w:bookmarkEnd w:id="230"/>
    </w:p>
    <w:p>
      <w:pPr>
        <w:pStyle w:val="25"/>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p>
    <w:p>
      <w:pPr>
        <w:pStyle w:val="25"/>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szCs w:val="32"/>
        </w:rPr>
        <w:t>依托现有资源，推进建设矿山、危险化学品、事故调查与鉴定、安全生产检验检测、职业危害预防与控制等技术支撑平台和重点实验室。</w:t>
      </w:r>
    </w:p>
    <w:p>
      <w:pPr>
        <w:pStyle w:val="25"/>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p>
    <w:p>
      <w:pPr>
        <w:pStyle w:val="43"/>
        <w:keepNext w:val="0"/>
        <w:keepLines w:val="0"/>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31" w:name="_Toc26488"/>
      <w:bookmarkStart w:id="232" w:name="_Toc24400"/>
      <w:r>
        <w:rPr>
          <w:rFonts w:hint="eastAsia" w:ascii="黑体" w:hAnsi="黑体" w:eastAsia="黑体" w:cs="仿宋"/>
          <w:b w:val="0"/>
          <w:color w:val="000000"/>
          <w:w w:val="90"/>
          <w:lang w:val="en-US" w:eastAsia="zh-CN"/>
        </w:rPr>
        <w:t xml:space="preserve">   </w:t>
      </w:r>
      <w:r>
        <w:rPr>
          <w:rFonts w:hint="eastAsia" w:ascii="黑体" w:hAnsi="黑体" w:eastAsia="黑体" w:cs="仿宋"/>
          <w:b w:val="0"/>
          <w:color w:val="000000"/>
          <w:w w:val="90"/>
        </w:rPr>
        <w:t>第</w:t>
      </w:r>
      <w:r>
        <w:rPr>
          <w:rFonts w:hint="eastAsia" w:ascii="黑体" w:hAnsi="黑体" w:eastAsia="黑体" w:cs="仿宋"/>
          <w:b w:val="0"/>
          <w:color w:val="000000"/>
          <w:w w:val="90"/>
          <w:lang w:eastAsia="zh-CN"/>
        </w:rPr>
        <w:t>二</w:t>
      </w:r>
      <w:r>
        <w:rPr>
          <w:rFonts w:hint="eastAsia" w:ascii="黑体" w:hAnsi="黑体" w:eastAsia="黑体" w:cs="仿宋"/>
          <w:b w:val="0"/>
          <w:color w:val="000000"/>
          <w:w w:val="90"/>
        </w:rPr>
        <w:t>节  推进“互联网+安全生产”综合政务服务云平台项目建设</w:t>
      </w:r>
      <w:bookmarkEnd w:id="231"/>
      <w:bookmarkEnd w:id="232"/>
    </w:p>
    <w:p>
      <w:pPr>
        <w:pStyle w:val="25"/>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25"/>
        <w:pageBreakBefore w:val="0"/>
        <w:kinsoku/>
        <w:wordWrap/>
        <w:overflowPunct/>
        <w:bidi w:val="0"/>
        <w:snapToGrid/>
        <w:spacing w:line="560" w:lineRule="exact"/>
        <w:ind w:firstLine="640" w:firstLineChars="200"/>
        <w:textAlignment w:val="auto"/>
        <w:rPr>
          <w:rFonts w:hint="eastAsia" w:ascii="仿宋_GB2312" w:hAnsi="仿宋" w:eastAsia="仿宋_GB2312" w:cs="仿宋"/>
          <w:color w:val="000000"/>
          <w:szCs w:val="32"/>
        </w:rPr>
      </w:pPr>
      <w:r>
        <w:rPr>
          <w:rFonts w:hint="eastAsia" w:ascii="仿宋_GB2312" w:hAnsi="仿宋" w:cs="仿宋"/>
          <w:color w:val="000000"/>
          <w:szCs w:val="32"/>
        </w:rPr>
        <w:t>依托清远市信用信息平台建设全市生产经营单位安全生产信用信息库，依托清远市市场监管信息平台与其他市直部门共享交换市场监管信息。</w:t>
      </w:r>
      <w:r>
        <w:rPr>
          <w:rFonts w:hint="eastAsia" w:ascii="仿宋_GB2312" w:hAnsi="仿宋" w:cs="仿宋"/>
          <w:i w:val="0"/>
          <w:iCs w:val="0"/>
          <w:color w:val="000000"/>
          <w:szCs w:val="32"/>
          <w:u w:val="none"/>
          <w:shd w:val="clear"/>
        </w:rPr>
        <w:t>与各级安全监管部门、安委会成员单位、各相关市场监管部门实现信息资源共享、部门联动。研究建立全</w:t>
      </w:r>
      <w:r>
        <w:rPr>
          <w:rFonts w:hint="eastAsia" w:ascii="仿宋_GB2312" w:hAnsi="仿宋" w:cs="仿宋"/>
          <w:i w:val="0"/>
          <w:iCs w:val="0"/>
          <w:color w:val="000000"/>
          <w:szCs w:val="32"/>
          <w:u w:val="none"/>
          <w:shd w:val="clear"/>
          <w:lang w:val="en-US" w:eastAsia="zh-CN"/>
        </w:rPr>
        <w:t>区</w:t>
      </w:r>
      <w:r>
        <w:rPr>
          <w:rFonts w:hint="eastAsia" w:ascii="仿宋_GB2312" w:hAnsi="仿宋" w:cs="仿宋"/>
          <w:i w:val="0"/>
          <w:iCs w:val="0"/>
          <w:color w:val="000000"/>
          <w:szCs w:val="32"/>
          <w:u w:val="none"/>
          <w:shd w:val="clear"/>
        </w:rPr>
        <w:t>安全生产大数据平台，收集整合各相关部门安全监管信息、生产经营单位安全管理信息、安全生产领域从业人员资格信息等数据。</w:t>
      </w:r>
    </w:p>
    <w:p>
      <w:pPr>
        <w:pStyle w:val="49"/>
        <w:pageBreakBefore w:val="0"/>
        <w:kinsoku/>
        <w:wordWrap/>
        <w:overflowPunct/>
        <w:bidi w:val="0"/>
        <w:snapToGrid/>
        <w:spacing w:before="0" w:beforeLines="0" w:after="0" w:afterLines="0" w:line="560" w:lineRule="exact"/>
        <w:ind w:left="0" w:firstLine="0"/>
        <w:jc w:val="both"/>
        <w:textAlignment w:val="auto"/>
        <w:rPr>
          <w:rFonts w:hint="eastAsia" w:ascii="方正小标宋_GBK" w:eastAsia="方正小标宋_GBK"/>
          <w:color w:val="000000"/>
          <w:sz w:val="44"/>
        </w:rPr>
      </w:pPr>
      <w:bookmarkStart w:id="233" w:name="_Toc23567"/>
      <w:bookmarkStart w:id="234" w:name="_Toc32281"/>
    </w:p>
    <w:p>
      <w:pPr>
        <w:pStyle w:val="49"/>
        <w:pageBreakBefore w:val="0"/>
        <w:kinsoku/>
        <w:wordWrap/>
        <w:overflowPunct/>
        <w:bidi w:val="0"/>
        <w:snapToGrid/>
        <w:spacing w:before="0" w:beforeLines="0" w:after="0" w:afterLines="0" w:line="560" w:lineRule="exact"/>
        <w:ind w:left="0" w:firstLine="0"/>
        <w:textAlignment w:val="auto"/>
        <w:rPr>
          <w:rFonts w:hint="eastAsia" w:ascii="方正小标宋_GBK" w:eastAsia="方正小标宋_GBK"/>
          <w:color w:val="000000"/>
          <w:sz w:val="44"/>
        </w:rPr>
      </w:pPr>
      <w:r>
        <w:rPr>
          <w:rFonts w:hint="eastAsia" w:ascii="方正小标宋_GBK" w:eastAsia="方正小标宋_GBK"/>
          <w:color w:val="000000"/>
          <w:sz w:val="44"/>
        </w:rPr>
        <w:t>第十三章  强化规划实施保障</w:t>
      </w:r>
      <w:bookmarkEnd w:id="233"/>
      <w:bookmarkEnd w:id="234"/>
    </w:p>
    <w:p>
      <w:pPr>
        <w:pStyle w:val="35"/>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p>
    <w:p>
      <w:pPr>
        <w:pStyle w:val="35"/>
        <w:pageBreakBefore w:val="0"/>
        <w:kinsoku/>
        <w:wordWrap/>
        <w:overflowPunct/>
        <w:bidi w:val="0"/>
        <w:snapToGrid/>
        <w:spacing w:line="560" w:lineRule="exact"/>
        <w:ind w:firstLine="640" w:firstLineChars="200"/>
        <w:textAlignment w:val="auto"/>
        <w:rPr>
          <w:rFonts w:hint="eastAsia" w:ascii="仿宋_GB2312" w:hAnsi="仿宋" w:cs="仿宋"/>
          <w:color w:val="000000"/>
        </w:rPr>
      </w:pPr>
      <w:r>
        <w:rPr>
          <w:rFonts w:hint="eastAsia" w:ascii="仿宋_GB2312" w:hAnsi="仿宋" w:cs="仿宋"/>
          <w:color w:val="000000"/>
        </w:rPr>
        <w:t>加强规划实施的组织领导，加大安全投入，健全社会共治体系，强化考核评估等工作，多措并举，保障规划目标任务落到实处。</w:t>
      </w:r>
    </w:p>
    <w:p>
      <w:pPr>
        <w:pStyle w:val="35"/>
        <w:pageBreakBefore w:val="0"/>
        <w:kinsoku/>
        <w:wordWrap/>
        <w:overflowPunct/>
        <w:bidi w:val="0"/>
        <w:snapToGrid/>
        <w:spacing w:line="560" w:lineRule="exact"/>
        <w:ind w:firstLine="640" w:firstLineChars="200"/>
        <w:textAlignment w:val="auto"/>
        <w:rPr>
          <w:rFonts w:hint="eastAsia" w:ascii="仿宋" w:hAnsi="仿宋" w:eastAsia="仿宋" w:cs="仿宋"/>
          <w:color w:val="000000"/>
        </w:rPr>
      </w:pPr>
    </w:p>
    <w:p>
      <w:pPr>
        <w:pStyle w:val="48"/>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35" w:name="_Toc23996"/>
      <w:bookmarkStart w:id="236" w:name="_Toc13816"/>
      <w:r>
        <w:rPr>
          <w:rFonts w:hint="eastAsia" w:ascii="黑体" w:hAnsi="黑体" w:eastAsia="黑体" w:cs="仿宋"/>
          <w:b w:val="0"/>
          <w:color w:val="000000"/>
        </w:rPr>
        <w:t>第一节  落实规划实施责任</w:t>
      </w:r>
      <w:bookmarkEnd w:id="235"/>
      <w:bookmarkEnd w:id="236"/>
    </w:p>
    <w:p>
      <w:pPr>
        <w:pStyle w:val="35"/>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35"/>
        <w:pageBreakBefore w:val="0"/>
        <w:kinsoku/>
        <w:wordWrap/>
        <w:overflowPunct/>
        <w:bidi w:val="0"/>
        <w:snapToGrid/>
        <w:spacing w:line="560" w:lineRule="exact"/>
        <w:ind w:firstLine="640" w:firstLineChars="200"/>
        <w:textAlignment w:val="auto"/>
        <w:rPr>
          <w:rFonts w:hint="eastAsia" w:ascii="仿宋_GB2312" w:hAnsi="仿宋" w:cs="仿宋"/>
          <w:color w:val="000000"/>
          <w:szCs w:val="32"/>
        </w:rPr>
      </w:pPr>
      <w:r>
        <w:rPr>
          <w:rFonts w:hint="eastAsia" w:ascii="仿宋_GB2312" w:hAnsi="仿宋" w:cs="仿宋"/>
          <w:color w:val="000000" w:themeColor="text1"/>
          <w:szCs w:val="32"/>
          <w:lang w:eastAsia="zh-CN"/>
          <w14:textFill>
            <w14:solidFill>
              <w14:schemeClr w14:val="tx1"/>
            </w14:solidFill>
          </w14:textFill>
        </w:rPr>
        <w:t>各街镇（场）</w:t>
      </w:r>
      <w:r>
        <w:rPr>
          <w:rFonts w:hint="eastAsia" w:ascii="仿宋_GB2312" w:hAnsi="仿宋" w:cs="仿宋"/>
          <w:color w:val="000000"/>
          <w:szCs w:val="32"/>
        </w:rPr>
        <w:t>、各部门要牢固树立发展决不能以牺牲安全为代价的红线意识。</w:t>
      </w:r>
      <w:r>
        <w:rPr>
          <w:rFonts w:hint="eastAsia" w:ascii="仿宋_GB2312" w:hAnsi="仿宋" w:cs="仿宋"/>
          <w:color w:val="000000" w:themeColor="text1"/>
          <w:szCs w:val="32"/>
          <w14:textFill>
            <w14:solidFill>
              <w14:schemeClr w14:val="tx1"/>
            </w14:solidFill>
          </w14:textFill>
        </w:rPr>
        <w:t>各级党委和政府</w:t>
      </w:r>
      <w:r>
        <w:rPr>
          <w:rFonts w:hint="eastAsia" w:ascii="仿宋_GB2312" w:hAnsi="仿宋" w:cs="仿宋"/>
          <w:color w:val="000000"/>
          <w:szCs w:val="32"/>
        </w:rPr>
        <w:t>要坚持安全发展，坚持人民群众利益至上，自觉维护人民群众生命财产安全，始终把安全生产摆在突出的位置来抓，全力做到在经济社会发展中每一个项目、每一个环节都要经过充分的安全论证、以安全为前提。各有关部门要制定规划实施方案，逐级分解落实规划目标任务。各级党委（党组）要发挥领导核心作用，完善党委研究安全发展战略、定期分析安全形势、制定重大政策的工作机制，健全安全生产决策咨询制度。正确处理安全生产与经济社会发展进步的关系，坚持统筹协调推进安全生产工作，把安全生产工作与经济社会发展同规划、同部署、同推进、同落实、同考核，将安全生产工作纳入国民经济和社会发展总体规划、总体布局，将安全生产主要工作和重大项目纳入地方政府经济社会发展和投资工作计划，将安全发展知识教学课程列入党校领导干部素质教育范畴。充分发挥各级安全生产委员会的作用，促进</w:t>
      </w:r>
      <w:r>
        <w:rPr>
          <w:rFonts w:hint="eastAsia" w:ascii="仿宋_GB2312" w:hAnsi="仿宋" w:cs="仿宋"/>
          <w:color w:val="000000" w:themeColor="text1"/>
          <w:szCs w:val="32"/>
          <w14:textFill>
            <w14:solidFill>
              <w14:schemeClr w14:val="tx1"/>
            </w14:solidFill>
          </w14:textFill>
        </w:rPr>
        <w:t>各级</w:t>
      </w:r>
      <w:r>
        <w:rPr>
          <w:rFonts w:hint="eastAsia" w:ascii="仿宋_GB2312" w:hAnsi="仿宋" w:cs="仿宋"/>
          <w:color w:val="000000"/>
          <w:szCs w:val="32"/>
        </w:rPr>
        <w:t>政府和横向部门间协同联动与信息共享，协调解决规划实施中跨部门、跨行业的重大问题。</w:t>
      </w:r>
    </w:p>
    <w:p>
      <w:pPr>
        <w:pStyle w:val="35"/>
        <w:pageBreakBefore w:val="0"/>
        <w:kinsoku/>
        <w:wordWrap/>
        <w:overflowPunct/>
        <w:bidi w:val="0"/>
        <w:snapToGrid/>
        <w:spacing w:line="560" w:lineRule="exact"/>
        <w:ind w:firstLine="640" w:firstLineChars="200"/>
        <w:textAlignment w:val="auto"/>
        <w:rPr>
          <w:rFonts w:hint="eastAsia" w:ascii="仿宋" w:hAnsi="仿宋" w:eastAsia="仿宋" w:cs="仿宋"/>
          <w:color w:val="000000"/>
          <w:szCs w:val="32"/>
        </w:rPr>
      </w:pPr>
    </w:p>
    <w:p>
      <w:pPr>
        <w:pStyle w:val="48"/>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37" w:name="_Toc19013"/>
      <w:bookmarkStart w:id="238" w:name="_Toc22441"/>
      <w:r>
        <w:rPr>
          <w:rFonts w:hint="eastAsia" w:ascii="黑体" w:hAnsi="黑体" w:eastAsia="黑体" w:cs="仿宋"/>
          <w:b w:val="0"/>
          <w:color w:val="000000"/>
        </w:rPr>
        <w:t>第二节  完善安全综合政策</w:t>
      </w:r>
      <w:bookmarkEnd w:id="237"/>
      <w:bookmarkEnd w:id="238"/>
    </w:p>
    <w:p>
      <w:pPr>
        <w:pStyle w:val="40"/>
        <w:pageBreakBefore w:val="0"/>
        <w:kinsoku/>
        <w:wordWrap/>
        <w:overflowPunct/>
        <w:bidi w:val="0"/>
        <w:snapToGrid/>
        <w:spacing w:line="560" w:lineRule="exact"/>
        <w:ind w:firstLine="632"/>
        <w:textAlignment w:val="auto"/>
        <w:rPr>
          <w:rFonts w:hint="eastAsia" w:ascii="仿宋" w:hAnsi="仿宋" w:eastAsia="仿宋" w:cs="仿宋"/>
          <w:color w:val="000000"/>
          <w:sz w:val="32"/>
          <w:szCs w:val="32"/>
        </w:rPr>
      </w:pPr>
    </w:p>
    <w:p>
      <w:pPr>
        <w:pStyle w:val="40"/>
        <w:pageBreakBefore w:val="0"/>
        <w:kinsoku/>
        <w:wordWrap/>
        <w:overflowPunct/>
        <w:bidi w:val="0"/>
        <w:snapToGrid/>
        <w:spacing w:line="560" w:lineRule="exact"/>
        <w:ind w:firstLine="632"/>
        <w:textAlignment w:val="auto"/>
        <w:rPr>
          <w:rFonts w:hint="eastAsia" w:ascii="仿宋_GB2312" w:hAnsi="仿宋" w:cs="仿宋"/>
          <w:color w:val="000000"/>
          <w:sz w:val="32"/>
          <w:szCs w:val="32"/>
          <w:u w:val="single"/>
          <w:shd w:val="clear" w:fill="FFFF00"/>
        </w:rPr>
      </w:pPr>
      <w:r>
        <w:rPr>
          <w:rFonts w:hint="eastAsia" w:ascii="仿宋_GB2312" w:hAnsi="仿宋" w:cs="仿宋"/>
          <w:color w:val="000000"/>
          <w:sz w:val="32"/>
          <w:szCs w:val="32"/>
        </w:rPr>
        <w:t>建立安全生产投入多元化保障体系，加大各级政府财力统筹力度，建立与安全监管工作相适应的投入保障制度，落实投入渠道和规模，保障安全生产有效投入。围绕推进安全生产基本公共服务均等化和改善安全生产状况，加强财政保障，加大对欠发达地区安全生产工作的支持力度。引导企业加大安全投入。加强工伤预防，完善工伤保险与事故预防相结合机制。</w:t>
      </w:r>
      <w:r>
        <w:rPr>
          <w:rFonts w:hint="eastAsia" w:ascii="仿宋_GB2312" w:hAnsi="仿宋" w:cs="仿宋"/>
          <w:color w:val="000000" w:themeColor="text1"/>
          <w:sz w:val="32"/>
          <w:szCs w:val="32"/>
          <w:lang w:eastAsia="zh-CN"/>
          <w14:textFill>
            <w14:solidFill>
              <w14:schemeClr w14:val="tx1"/>
            </w14:solidFill>
          </w14:textFill>
        </w:rPr>
        <w:t>各街镇（场）</w:t>
      </w:r>
      <w:r>
        <w:rPr>
          <w:rFonts w:hint="eastAsia" w:ascii="仿宋_GB2312" w:hAnsi="仿宋" w:cs="仿宋"/>
          <w:color w:val="000000"/>
          <w:sz w:val="32"/>
          <w:szCs w:val="32"/>
        </w:rPr>
        <w:t>、各有关部门要按照国家、省的部署和要求，推行安全生产责任保险工作。推动建立企业“关、停、并、转”补偿机制。</w:t>
      </w:r>
    </w:p>
    <w:p>
      <w:pPr>
        <w:pStyle w:val="48"/>
        <w:pageBreakBefore w:val="0"/>
        <w:kinsoku/>
        <w:wordWrap/>
        <w:overflowPunct/>
        <w:bidi w:val="0"/>
        <w:snapToGrid/>
        <w:spacing w:line="560" w:lineRule="exact"/>
        <w:jc w:val="center"/>
        <w:textAlignment w:val="auto"/>
        <w:rPr>
          <w:rFonts w:hint="eastAsia" w:ascii="仿宋_GB2312" w:hAnsi="仿宋" w:eastAsia="仿宋_GB2312" w:cs="仿宋"/>
          <w:color w:val="000000"/>
        </w:rPr>
      </w:pPr>
      <w:bookmarkStart w:id="239" w:name="_Toc3088"/>
    </w:p>
    <w:p>
      <w:pPr>
        <w:pStyle w:val="48"/>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40" w:name="_Toc30970"/>
      <w:r>
        <w:rPr>
          <w:rFonts w:hint="eastAsia" w:ascii="黑体" w:hAnsi="黑体" w:eastAsia="黑体" w:cs="仿宋"/>
          <w:b w:val="0"/>
          <w:color w:val="000000"/>
        </w:rPr>
        <w:t>第三节  健全社会共治体系</w:t>
      </w:r>
      <w:bookmarkEnd w:id="239"/>
      <w:bookmarkEnd w:id="240"/>
    </w:p>
    <w:p>
      <w:pPr>
        <w:pStyle w:val="40"/>
        <w:pageBreakBefore w:val="0"/>
        <w:kinsoku/>
        <w:wordWrap/>
        <w:overflowPunct/>
        <w:bidi w:val="0"/>
        <w:snapToGrid/>
        <w:spacing w:line="560" w:lineRule="exact"/>
        <w:ind w:firstLine="632"/>
        <w:textAlignment w:val="auto"/>
        <w:rPr>
          <w:rFonts w:hint="eastAsia" w:ascii="仿宋_GB2312" w:hAnsi="仿宋" w:cs="仿宋"/>
          <w:color w:val="000000"/>
          <w:sz w:val="32"/>
          <w:szCs w:val="32"/>
        </w:rPr>
      </w:pPr>
    </w:p>
    <w:p>
      <w:pPr>
        <w:pStyle w:val="40"/>
        <w:pageBreakBefore w:val="0"/>
        <w:kinsoku/>
        <w:wordWrap/>
        <w:overflowPunct/>
        <w:bidi w:val="0"/>
        <w:snapToGrid/>
        <w:spacing w:line="560" w:lineRule="exact"/>
        <w:ind w:firstLine="632"/>
        <w:textAlignment w:val="auto"/>
        <w:rPr>
          <w:rFonts w:hint="eastAsia" w:ascii="仿宋" w:hAnsi="仿宋" w:eastAsia="仿宋" w:cs="仿宋"/>
          <w:color w:val="000000"/>
          <w:sz w:val="32"/>
          <w:szCs w:val="32"/>
        </w:rPr>
      </w:pPr>
      <w:r>
        <w:rPr>
          <w:rFonts w:hint="eastAsia" w:ascii="仿宋_GB2312" w:hAnsi="仿宋" w:cs="仿宋"/>
          <w:color w:val="000000"/>
          <w:sz w:val="32"/>
          <w:szCs w:val="32"/>
        </w:rPr>
        <w:t>充分发挥社会力量和社会组织的作用，积极动员和组织保险业、行业自律组织、社会团体、社区群众等共同参与安全生产监管工作。健全安全公益宣传、公众参与、社会监督和舆情监控机制，完善网络平台、举报信箱和举报电话等社会监督渠道。强化“12350”安全生产投诉举报平台系统建设。充分发挥工会、共青团、志愿者以及企业基层班组等组织对安全生产工作的监督作用。提高劳动者维护安全生产和职业健康正当权益意识，依法行使知情权、参与权、表达权、监督权。完善与规范安全生产信息发布制度，发挥新闻媒体安全生产宣传和监督作用，引导媒体加强安全生产重点工作的宣传报道，加大力度曝光安全生产违法行为。引导社会公众积极举报事故隐患和安全生产违法行为，推动建立群众举报投诉有功奖励制度。努力形成安全生产人人关心、人人参与、人人有责的社会氛围。</w:t>
      </w:r>
    </w:p>
    <w:p>
      <w:pPr>
        <w:pStyle w:val="40"/>
        <w:pageBreakBefore w:val="0"/>
        <w:kinsoku/>
        <w:wordWrap/>
        <w:overflowPunct/>
        <w:bidi w:val="0"/>
        <w:snapToGrid/>
        <w:spacing w:line="560" w:lineRule="exact"/>
        <w:ind w:firstLine="592"/>
        <w:textAlignment w:val="auto"/>
        <w:rPr>
          <w:rFonts w:hint="eastAsia" w:ascii="仿宋" w:hAnsi="仿宋" w:eastAsia="仿宋" w:cs="仿宋"/>
          <w:color w:val="000000"/>
          <w:szCs w:val="32"/>
        </w:rPr>
      </w:pPr>
    </w:p>
    <w:p>
      <w:pPr>
        <w:pStyle w:val="48"/>
        <w:pageBreakBefore w:val="0"/>
        <w:kinsoku/>
        <w:wordWrap/>
        <w:overflowPunct/>
        <w:bidi w:val="0"/>
        <w:snapToGrid/>
        <w:spacing w:line="560" w:lineRule="exact"/>
        <w:jc w:val="center"/>
        <w:textAlignment w:val="auto"/>
        <w:rPr>
          <w:rFonts w:hint="eastAsia" w:ascii="黑体" w:hAnsi="黑体" w:eastAsia="黑体" w:cs="仿宋"/>
          <w:b w:val="0"/>
          <w:color w:val="000000"/>
        </w:rPr>
      </w:pPr>
      <w:bookmarkStart w:id="241" w:name="_Toc29513"/>
      <w:bookmarkStart w:id="242" w:name="_Toc1003"/>
      <w:r>
        <w:rPr>
          <w:rFonts w:hint="eastAsia" w:ascii="黑体" w:hAnsi="黑体" w:eastAsia="黑体" w:cs="仿宋"/>
          <w:b w:val="0"/>
          <w:color w:val="000000"/>
        </w:rPr>
        <w:t>第四节  强化规划评估考核</w:t>
      </w:r>
      <w:bookmarkEnd w:id="241"/>
      <w:bookmarkEnd w:id="242"/>
    </w:p>
    <w:p>
      <w:pPr>
        <w:pStyle w:val="35"/>
        <w:pageBreakBefore w:val="0"/>
        <w:kinsoku/>
        <w:wordWrap/>
        <w:overflowPunct/>
        <w:bidi w:val="0"/>
        <w:snapToGrid/>
        <w:spacing w:line="560" w:lineRule="exact"/>
        <w:textAlignment w:val="auto"/>
        <w:rPr>
          <w:rFonts w:hint="eastAsia" w:ascii="仿宋" w:hAnsi="仿宋" w:eastAsia="仿宋" w:cs="仿宋"/>
          <w:color w:val="000000"/>
          <w:szCs w:val="32"/>
        </w:rPr>
      </w:pPr>
    </w:p>
    <w:p>
      <w:pPr>
        <w:pStyle w:val="35"/>
        <w:pageBreakBefore w:val="0"/>
        <w:kinsoku/>
        <w:wordWrap/>
        <w:overflowPunct/>
        <w:bidi w:val="0"/>
        <w:snapToGrid/>
        <w:spacing w:line="560" w:lineRule="exact"/>
        <w:textAlignment w:val="auto"/>
        <w:rPr>
          <w:rFonts w:hint="eastAsia" w:ascii="仿宋" w:hAnsi="仿宋" w:eastAsia="仿宋_GB2312"/>
          <w:lang w:eastAsia="zh-CN"/>
        </w:rPr>
      </w:pPr>
      <w:r>
        <w:rPr>
          <w:rFonts w:hint="eastAsia"/>
        </w:rPr>
        <w:t xml:space="preserve">    加强规划实施情况的动态监测和评估调整。各级政府要把安全生产工作纳入经济社会发展考评体系和社会管理综合治理体系，将安全生产指标纳入党政领导干部政绩考核和经济社会发展统计公报。安全生产监管部门要建立规划实施的评估考核机制，将各行业主管部门安全生产工作要点纳入年度安全生产责任考核，加强对规划执行情况的监督检查，加强安全生产统计和监测，及时公布各地、各行业领域安全生产规划目标任务进展情况。规划编制部门组织实施本规划考核评估，在2018年底和2020年底分别对本规划执行情况进行中期和</w:t>
      </w:r>
      <w:r>
        <w:rPr>
          <w:rFonts w:hint="eastAsia"/>
          <w:highlight w:val="none"/>
        </w:rPr>
        <w:t>终期</w:t>
      </w:r>
      <w:r>
        <w:rPr>
          <w:rFonts w:hint="eastAsia"/>
        </w:rPr>
        <w:t>评估</w:t>
      </w:r>
      <w:bookmarkEnd w:id="185"/>
      <w:r>
        <w:rPr>
          <w:rFonts w:hint="eastAsia"/>
          <w:lang w:eastAsia="zh-CN"/>
        </w:rPr>
        <w:t>考核。</w:t>
      </w:r>
    </w:p>
    <w:p>
      <w:pPr>
        <w:pStyle w:val="35"/>
        <w:pageBreakBefore w:val="0"/>
        <w:kinsoku/>
        <w:wordWrap/>
        <w:overflowPunct/>
        <w:bidi w:val="0"/>
        <w:snapToGrid/>
        <w:spacing w:line="560" w:lineRule="exact"/>
        <w:textAlignment w:val="auto"/>
        <w:rPr>
          <w:rFonts w:hint="eastAsia" w:ascii="仿宋" w:hAnsi="仿宋" w:eastAsia="仿宋"/>
        </w:rPr>
      </w:pPr>
    </w:p>
    <w:sectPr>
      <w:footerReference r:id="rId3" w:type="default"/>
      <w:footerReference r:id="rId4" w:type="even"/>
      <w:pgSz w:w="11906" w:h="16838"/>
      <w:pgMar w:top="2211" w:right="1474" w:bottom="1871" w:left="1587" w:header="851" w:footer="992" w:gutter="0"/>
      <w:pgNumType w:fmt="decimal"/>
      <w:cols w:space="0" w:num="1"/>
      <w:rtlGutter w:val="0"/>
      <w:docGrid w:type="lines" w:linePitch="44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right="360" w:firstLine="360"/>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Style w:val="6"/>
                              <w:rFonts w:hint="eastAsia" w:ascii="仿宋_GB2312"/>
                              <w:sz w:val="28"/>
                              <w:szCs w:val="28"/>
                            </w:rPr>
                          </w:pPr>
                          <w:r>
                            <w:rPr>
                              <w:rFonts w:hint="eastAsia" w:ascii="仿宋_GB2312"/>
                              <w:sz w:val="28"/>
                              <w:szCs w:val="28"/>
                            </w:rPr>
                            <w:fldChar w:fldCharType="begin"/>
                          </w:r>
                          <w:r>
                            <w:rPr>
                              <w:rStyle w:val="6"/>
                              <w:rFonts w:hint="eastAsia" w:ascii="仿宋_GB2312"/>
                              <w:sz w:val="28"/>
                              <w:szCs w:val="28"/>
                            </w:rPr>
                            <w:instrText xml:space="preserve">PAGE  </w:instrText>
                          </w:r>
                          <w:r>
                            <w:rPr>
                              <w:rFonts w:hint="eastAsia" w:ascii="仿宋_GB2312"/>
                              <w:sz w:val="28"/>
                              <w:szCs w:val="28"/>
                            </w:rPr>
                            <w:fldChar w:fldCharType="separate"/>
                          </w:r>
                          <w:r>
                            <w:rPr>
                              <w:rStyle w:val="6"/>
                              <w:rFonts w:ascii="仿宋_GB2312"/>
                              <w:sz w:val="28"/>
                              <w:szCs w:val="28"/>
                            </w:rPr>
                            <w:t>- 2 -</w:t>
                          </w:r>
                          <w:r>
                            <w:rPr>
                              <w:rFonts w:hint="eastAsia" w:ascii="仿宋_GB2312"/>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pStyle w:val="3"/>
                      <w:rPr>
                        <w:rStyle w:val="6"/>
                        <w:rFonts w:hint="eastAsia" w:ascii="仿宋_GB2312"/>
                        <w:sz w:val="28"/>
                        <w:szCs w:val="28"/>
                      </w:rPr>
                    </w:pPr>
                    <w:r>
                      <w:rPr>
                        <w:rFonts w:hint="eastAsia" w:ascii="仿宋_GB2312"/>
                        <w:sz w:val="28"/>
                        <w:szCs w:val="28"/>
                      </w:rPr>
                      <w:fldChar w:fldCharType="begin"/>
                    </w:r>
                    <w:r>
                      <w:rPr>
                        <w:rStyle w:val="6"/>
                        <w:rFonts w:hint="eastAsia" w:ascii="仿宋_GB2312"/>
                        <w:sz w:val="28"/>
                        <w:szCs w:val="28"/>
                      </w:rPr>
                      <w:instrText xml:space="preserve">PAGE  </w:instrText>
                    </w:r>
                    <w:r>
                      <w:rPr>
                        <w:rFonts w:hint="eastAsia" w:ascii="仿宋_GB2312"/>
                        <w:sz w:val="28"/>
                        <w:szCs w:val="28"/>
                      </w:rPr>
                      <w:fldChar w:fldCharType="separate"/>
                    </w:r>
                    <w:r>
                      <w:rPr>
                        <w:rStyle w:val="6"/>
                        <w:rFonts w:ascii="仿宋_GB2312"/>
                        <w:sz w:val="28"/>
                        <w:szCs w:val="28"/>
                      </w:rPr>
                      <w:t>- 2 -</w:t>
                    </w:r>
                    <w:r>
                      <w:rPr>
                        <w:rFonts w:hint="eastAsia" w:ascii="仿宋_GB2312"/>
                        <w:sz w:val="28"/>
                        <w:szCs w:val="28"/>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6"/>
      </w:rPr>
    </w:pPr>
    <w:r>
      <w:fldChar w:fldCharType="begin"/>
    </w:r>
    <w:r>
      <w:rPr>
        <w:rStyle w:val="6"/>
      </w:rPr>
      <w:instrText xml:space="preserve">PAGE  </w:instrText>
    </w:r>
    <w:r>
      <w:fldChar w:fldCharType="separate"/>
    </w:r>
    <w:r>
      <w:fldChar w:fldCharType="end"/>
    </w:r>
  </w:p>
  <w:p>
    <w:pPr>
      <w:pStyle w:val="3"/>
      <w:ind w:right="360" w:firstLine="360"/>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5"/>
    <w:multiLevelType w:val="singleLevel"/>
    <w:tmpl w:val="00000005"/>
    <w:lvl w:ilvl="0" w:tentative="0">
      <w:start w:val="9"/>
      <w:numFmt w:val="chineseCounting"/>
      <w:suff w:val="space"/>
      <w:lvlText w:val="第%1章"/>
      <w:lvlJc w:val="left"/>
      <w:rPr>
        <w:rFonts w:hint="eastAsia" w:ascii="方正小标宋_GBK" w:eastAsia="方正小标宋_GBK"/>
        <w:sz w:val="44"/>
        <w:szCs w:val="44"/>
      </w:rPr>
    </w:lvl>
  </w:abstractNum>
  <w:abstractNum w:abstractNumId="1">
    <w:nsid w:val="00000007"/>
    <w:multiLevelType w:val="singleLevel"/>
    <w:tmpl w:val="00000007"/>
    <w:lvl w:ilvl="0" w:tentative="0">
      <w:start w:val="1"/>
      <w:numFmt w:val="decimal"/>
      <w:suff w:val="nothing"/>
      <w:lvlText w:val="%1."/>
      <w:lvlJc w:val="left"/>
      <w:rPr>
        <w:b/>
      </w:rPr>
    </w:lvl>
  </w:abstractNum>
  <w:abstractNum w:abstractNumId="2">
    <w:nsid w:val="00000008"/>
    <w:multiLevelType w:val="singleLevel"/>
    <w:tmpl w:val="00000008"/>
    <w:lvl w:ilvl="0" w:tentative="0">
      <w:start w:val="1"/>
      <w:numFmt w:val="decimal"/>
      <w:suff w:val="nothing"/>
      <w:lvlText w:val="%1."/>
      <w:lvlJc w:val="left"/>
    </w:lvl>
  </w:abstractNum>
  <w:abstractNum w:abstractNumId="3">
    <w:nsid w:val="0000000A"/>
    <w:multiLevelType w:val="singleLevel"/>
    <w:tmpl w:val="0000000A"/>
    <w:lvl w:ilvl="0" w:tentative="0">
      <w:start w:val="3"/>
      <w:numFmt w:val="chineseCounting"/>
      <w:suff w:val="space"/>
      <w:lvlText w:val="第%1节"/>
      <w:lvlJc w:val="left"/>
      <w:rPr>
        <w:rFonts w:ascii="黑体" w:hAnsi="黑体" w:eastAsia="黑体"/>
      </w:rPr>
    </w:lvl>
  </w:abstractNum>
  <w:abstractNum w:abstractNumId="4">
    <w:nsid w:val="0000000B"/>
    <w:multiLevelType w:val="singleLevel"/>
    <w:tmpl w:val="0000000B"/>
    <w:lvl w:ilvl="0" w:tentative="0">
      <w:start w:val="1"/>
      <w:numFmt w:val="decimal"/>
      <w:suff w:val="nothing"/>
      <w:lvlText w:val="%1."/>
      <w:lvlJc w:val="left"/>
    </w:lvl>
  </w:abstractNum>
  <w:abstractNum w:abstractNumId="5">
    <w:nsid w:val="0000000D"/>
    <w:multiLevelType w:val="singleLevel"/>
    <w:tmpl w:val="0000000D"/>
    <w:lvl w:ilvl="0" w:tentative="0">
      <w:start w:val="2"/>
      <w:numFmt w:val="chineseCounting"/>
      <w:suff w:val="space"/>
      <w:lvlText w:val="第%1节"/>
      <w:lvlJc w:val="left"/>
      <w:rPr>
        <w:rFonts w:ascii="黑体" w:hAnsi="黑体" w:eastAsia="黑体"/>
        <w:b w:val="0"/>
      </w:rPr>
    </w:lvl>
  </w:abstractNum>
  <w:abstractNum w:abstractNumId="6">
    <w:nsid w:val="0000000F"/>
    <w:multiLevelType w:val="singleLevel"/>
    <w:tmpl w:val="0000000F"/>
    <w:lvl w:ilvl="0" w:tentative="0">
      <w:start w:val="1"/>
      <w:numFmt w:val="chineseCounting"/>
      <w:suff w:val="space"/>
      <w:lvlText w:val="第%1节"/>
      <w:lvlJc w:val="left"/>
    </w:lvl>
  </w:abstractNum>
  <w:abstractNum w:abstractNumId="7">
    <w:nsid w:val="00000011"/>
    <w:multiLevelType w:val="singleLevel"/>
    <w:tmpl w:val="00000011"/>
    <w:lvl w:ilvl="0" w:tentative="0">
      <w:start w:val="3"/>
      <w:numFmt w:val="chineseCounting"/>
      <w:suff w:val="space"/>
      <w:lvlText w:val="第%1章"/>
      <w:lvlJc w:val="left"/>
      <w:rPr>
        <w:rFonts w:hint="eastAsia" w:ascii="方正小标宋_GBK" w:eastAsia="方正小标宋_GBK"/>
        <w:sz w:val="44"/>
        <w:szCs w:val="44"/>
      </w:rPr>
    </w:lvl>
  </w:abstractNum>
  <w:abstractNum w:abstractNumId="8">
    <w:nsid w:val="00000012"/>
    <w:multiLevelType w:val="singleLevel"/>
    <w:tmpl w:val="00000012"/>
    <w:lvl w:ilvl="0" w:tentative="0">
      <w:start w:val="1"/>
      <w:numFmt w:val="decimal"/>
      <w:suff w:val="nothing"/>
      <w:lvlText w:val="%1."/>
      <w:lvlJc w:val="left"/>
    </w:lvl>
  </w:abstractNum>
  <w:num w:numId="1">
    <w:abstractNumId w:val="1"/>
  </w:num>
  <w:num w:numId="2">
    <w:abstractNumId w:val="5"/>
  </w:num>
  <w:num w:numId="3">
    <w:abstractNumId w:val="3"/>
  </w:num>
  <w:num w:numId="4">
    <w:abstractNumId w:val="7"/>
  </w:num>
  <w:num w:numId="5">
    <w:abstractNumId w:val="6"/>
  </w:num>
  <w:num w:numId="6">
    <w:abstractNumId w:val="8"/>
  </w:num>
  <w:num w:numId="7">
    <w:abstractNumId w:val="2"/>
  </w:num>
  <w:num w:numId="8">
    <w:abstractNumId w:val="4"/>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22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001C47E1"/>
    <w:rsid w:val="04876359"/>
    <w:rsid w:val="04AC51B4"/>
    <w:rsid w:val="04D4341F"/>
    <w:rsid w:val="051544E3"/>
    <w:rsid w:val="0F0F4020"/>
    <w:rsid w:val="0F5C5E04"/>
    <w:rsid w:val="14925705"/>
    <w:rsid w:val="1A734E8B"/>
    <w:rsid w:val="1E761794"/>
    <w:rsid w:val="23372805"/>
    <w:rsid w:val="243D62E9"/>
    <w:rsid w:val="24D75721"/>
    <w:rsid w:val="253F6D96"/>
    <w:rsid w:val="26573B95"/>
    <w:rsid w:val="28995A9C"/>
    <w:rsid w:val="2CDC1B0B"/>
    <w:rsid w:val="2D71365A"/>
    <w:rsid w:val="2E8829FC"/>
    <w:rsid w:val="2EEE6E14"/>
    <w:rsid w:val="35810597"/>
    <w:rsid w:val="40034BFE"/>
    <w:rsid w:val="402A5318"/>
    <w:rsid w:val="4411392F"/>
    <w:rsid w:val="46184AAB"/>
    <w:rsid w:val="481B157B"/>
    <w:rsid w:val="48CB7C5C"/>
    <w:rsid w:val="4C886998"/>
    <w:rsid w:val="4D5F204B"/>
    <w:rsid w:val="4EEA5649"/>
    <w:rsid w:val="520F4C69"/>
    <w:rsid w:val="54927613"/>
    <w:rsid w:val="5A2A155F"/>
    <w:rsid w:val="5B1E2A10"/>
    <w:rsid w:val="5CD13262"/>
    <w:rsid w:val="6062052D"/>
    <w:rsid w:val="60B858DC"/>
    <w:rsid w:val="66343BF4"/>
    <w:rsid w:val="69CE28FB"/>
    <w:rsid w:val="6DF32E9C"/>
    <w:rsid w:val="6ECD51F8"/>
    <w:rsid w:val="6F0308A3"/>
    <w:rsid w:val="70DB5B27"/>
    <w:rsid w:val="7148556B"/>
    <w:rsid w:val="73F04127"/>
    <w:rsid w:val="75B333A9"/>
    <w:rsid w:val="76031AF0"/>
    <w:rsid w:val="774E4A0E"/>
    <w:rsid w:val="7AA368A7"/>
    <w:rsid w:val="7D6A0AF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lang w:val="en-US" w:eastAsia="zh-CN" w:bidi="ar-SA"/>
    </w:rPr>
  </w:style>
  <w:style w:type="character" w:default="1" w:styleId="5">
    <w:name w:val="Default Paragraph Font"/>
    <w:semiHidden/>
    <w:qFormat/>
    <w:uiPriority w:val="0"/>
  </w:style>
  <w:style w:type="table" w:default="1" w:styleId="7">
    <w:name w:val="Normal Table"/>
    <w:semiHidden/>
    <w:qFormat/>
    <w:uiPriority w:val="0"/>
    <w:tblPr>
      <w:tblLayout w:type="fixed"/>
      <w:tblCellMar>
        <w:top w:w="0" w:type="dxa"/>
        <w:left w:w="108" w:type="dxa"/>
        <w:bottom w:w="0" w:type="dxa"/>
        <w:right w:w="108" w:type="dxa"/>
      </w:tblCellMar>
    </w:tblPr>
  </w:style>
  <w:style w:type="paragraph" w:styleId="2">
    <w:name w:val="Balloon Text"/>
    <w:basedOn w:val="1"/>
    <w:qFormat/>
    <w:uiPriority w:val="0"/>
    <w:rPr>
      <w:sz w:val="18"/>
      <w:szCs w:val="18"/>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rFonts w:ascii="Times New Roman" w:hAnsi="Times New Roman"/>
      <w:sz w:val="18"/>
    </w:rPr>
  </w:style>
  <w:style w:type="character" w:styleId="6">
    <w:name w:val="page number"/>
    <w:basedOn w:val="5"/>
    <w:qFormat/>
    <w:uiPriority w:val="0"/>
    <w:rPr>
      <w:rFonts w:ascii="Times New Roman" w:hAnsi="Times New Roman" w:eastAsia="宋体" w:cs="Times New Roman"/>
    </w:rPr>
  </w:style>
  <w:style w:type="paragraph" w:customStyle="1" w:styleId="8">
    <w:name w:val="正文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9">
    <w:name w:val="标题 2 New New New New New New New New New"/>
    <w:basedOn w:val="10"/>
    <w:next w:val="10"/>
    <w:qFormat/>
    <w:uiPriority w:val="0"/>
    <w:pPr>
      <w:keepNext/>
      <w:keepLines/>
      <w:tabs>
        <w:tab w:val="left" w:pos="930"/>
      </w:tabs>
      <w:outlineLvl w:val="1"/>
    </w:pPr>
    <w:rPr>
      <w:rFonts w:ascii="Arial" w:hAnsi="Arial" w:eastAsia="楷体_GB2312"/>
      <w:b/>
      <w:bCs/>
      <w:szCs w:val="32"/>
    </w:rPr>
  </w:style>
  <w:style w:type="paragraph" w:customStyle="1" w:styleId="10">
    <w:name w:val="正文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1">
    <w:name w:val=" Char Char Char Char Char Char1 Char"/>
    <w:basedOn w:val="8"/>
    <w:qFormat/>
    <w:uiPriority w:val="0"/>
    <w:pPr>
      <w:widowControl/>
      <w:spacing w:after="160" w:afterLines="0" w:line="240" w:lineRule="exact"/>
      <w:jc w:val="left"/>
    </w:pPr>
  </w:style>
  <w:style w:type="paragraph" w:customStyle="1" w:styleId="12">
    <w:name w:val="Normal"/>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customStyle="1" w:styleId="13">
    <w:name w:val="正文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4">
    <w:name w:val="标题 1 New"/>
    <w:basedOn w:val="15"/>
    <w:next w:val="15"/>
    <w:qFormat/>
    <w:uiPriority w:val="0"/>
    <w:pPr>
      <w:ind w:firstLine="640" w:firstLineChars="200"/>
      <w:outlineLvl w:val="0"/>
    </w:pPr>
    <w:rPr>
      <w:rFonts w:eastAsia="黑体"/>
      <w:bCs/>
      <w:kern w:val="44"/>
      <w:sz w:val="32"/>
      <w:szCs w:val="32"/>
    </w:rPr>
  </w:style>
  <w:style w:type="paragraph" w:customStyle="1" w:styleId="15">
    <w:name w:val="正文 New New New"/>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16">
    <w:name w:val="目录 1 New"/>
    <w:basedOn w:val="15"/>
    <w:next w:val="15"/>
    <w:qFormat/>
    <w:uiPriority w:val="0"/>
  </w:style>
  <w:style w:type="paragraph" w:customStyle="1" w:styleId="17">
    <w:name w:val="正文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8">
    <w:name w:val="正文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19">
    <w:name w:val="标题 2 New New New New New"/>
    <w:basedOn w:val="20"/>
    <w:next w:val="20"/>
    <w:qFormat/>
    <w:uiPriority w:val="0"/>
    <w:pPr>
      <w:keepNext/>
      <w:keepLines/>
      <w:tabs>
        <w:tab w:val="left" w:pos="930"/>
      </w:tabs>
      <w:outlineLvl w:val="1"/>
    </w:pPr>
    <w:rPr>
      <w:rFonts w:ascii="Arial" w:hAnsi="Arial" w:eastAsia="楷体_GB2312"/>
      <w:b/>
      <w:bCs/>
      <w:szCs w:val="32"/>
    </w:rPr>
  </w:style>
  <w:style w:type="paragraph" w:customStyle="1" w:styleId="20">
    <w:name w:val="正文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21">
    <w:name w:val="标题 2 New New New New New New New New New New New New New New New New New New New New New New New New New New New New"/>
    <w:basedOn w:val="18"/>
    <w:next w:val="18"/>
    <w:qFormat/>
    <w:uiPriority w:val="0"/>
    <w:pPr>
      <w:keepNext/>
      <w:keepLines/>
      <w:tabs>
        <w:tab w:val="left" w:pos="930"/>
      </w:tabs>
      <w:outlineLvl w:val="1"/>
    </w:pPr>
    <w:rPr>
      <w:rFonts w:ascii="Arial" w:hAnsi="Arial" w:eastAsia="楷体_GB2312"/>
      <w:b/>
      <w:bCs/>
      <w:szCs w:val="32"/>
    </w:rPr>
  </w:style>
  <w:style w:type="paragraph" w:customStyle="1" w:styleId="22">
    <w:name w:val="标题 1 New New New New New New New"/>
    <w:basedOn w:val="10"/>
    <w:next w:val="10"/>
    <w:qFormat/>
    <w:uiPriority w:val="0"/>
    <w:pPr>
      <w:keepNext/>
      <w:keepLines/>
      <w:tabs>
        <w:tab w:val="left" w:pos="420"/>
      </w:tabs>
      <w:spacing w:before="156" w:beforeLines="50" w:after="156" w:afterLines="50"/>
      <w:ind w:left="420" w:hanging="420"/>
      <w:jc w:val="center"/>
      <w:outlineLvl w:val="0"/>
    </w:pPr>
    <w:rPr>
      <w:rFonts w:eastAsia="黑体"/>
      <w:bCs/>
      <w:kern w:val="44"/>
      <w:szCs w:val="44"/>
    </w:rPr>
  </w:style>
  <w:style w:type="paragraph" w:customStyle="1" w:styleId="23">
    <w:name w:val="标题 2 New"/>
    <w:basedOn w:val="15"/>
    <w:next w:val="15"/>
    <w:link w:val="51"/>
    <w:qFormat/>
    <w:uiPriority w:val="0"/>
    <w:pPr>
      <w:ind w:firstLine="643" w:firstLineChars="200"/>
      <w:outlineLvl w:val="1"/>
    </w:pPr>
    <w:rPr>
      <w:rFonts w:ascii="Arial" w:hAnsi="Arial" w:eastAsia="楷体_GB2312"/>
      <w:b/>
      <w:bCs/>
      <w:kern w:val="2"/>
      <w:sz w:val="32"/>
      <w:szCs w:val="32"/>
      <w:lang w:val="en-US" w:eastAsia="zh-CN" w:bidi="ar-SA"/>
    </w:rPr>
  </w:style>
  <w:style w:type="paragraph" w:customStyle="1" w:styleId="24">
    <w:name w:val="目录 2 New"/>
    <w:basedOn w:val="15"/>
    <w:next w:val="15"/>
    <w:qFormat/>
    <w:uiPriority w:val="0"/>
    <w:pPr>
      <w:ind w:left="420" w:leftChars="200"/>
    </w:pPr>
  </w:style>
  <w:style w:type="paragraph" w:customStyle="1" w:styleId="25">
    <w:name w:val="正文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26">
    <w:name w:val="正文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27">
    <w:name w:val="Normal (Web)"/>
    <w:basedOn w:val="1"/>
    <w:qFormat/>
    <w:uiPriority w:val="0"/>
    <w:pPr>
      <w:jc w:val="left"/>
    </w:pPr>
    <w:rPr>
      <w:rFonts w:ascii="Calibri" w:hAnsi="Calibri" w:eastAsia="宋体"/>
      <w:kern w:val="0"/>
      <w:sz w:val="24"/>
      <w:szCs w:val="24"/>
    </w:rPr>
  </w:style>
  <w:style w:type="paragraph" w:customStyle="1" w:styleId="28">
    <w:name w:val="标题 1 New New New New New"/>
    <w:basedOn w:val="25"/>
    <w:next w:val="25"/>
    <w:qFormat/>
    <w:uiPriority w:val="0"/>
    <w:pPr>
      <w:keepNext/>
      <w:keepLines/>
      <w:tabs>
        <w:tab w:val="left" w:pos="420"/>
      </w:tabs>
      <w:spacing w:before="156" w:beforeLines="50" w:after="156" w:afterLines="50"/>
      <w:ind w:left="420" w:hanging="420"/>
      <w:jc w:val="center"/>
      <w:outlineLvl w:val="0"/>
    </w:pPr>
    <w:rPr>
      <w:rFonts w:eastAsia="黑体"/>
      <w:bCs/>
      <w:kern w:val="44"/>
      <w:szCs w:val="44"/>
    </w:rPr>
  </w:style>
  <w:style w:type="paragraph" w:customStyle="1" w:styleId="29">
    <w:name w:val="正文 New"/>
    <w:qFormat/>
    <w:uiPriority w:val="0"/>
    <w:pPr>
      <w:widowControl w:val="0"/>
      <w:jc w:val="both"/>
    </w:pPr>
    <w:rPr>
      <w:rFonts w:ascii="Times New Roman" w:hAnsi="Times New Roman" w:eastAsia="仿宋_GB2312" w:cs="Times New Roman"/>
      <w:kern w:val="2"/>
      <w:sz w:val="32"/>
      <w:lang w:val="en-US" w:eastAsia="zh-CN" w:bidi="ar-SA"/>
    </w:rPr>
  </w:style>
  <w:style w:type="paragraph" w:customStyle="1" w:styleId="30">
    <w:name w:val="正文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lang w:val="en-US" w:eastAsia="zh-CN"/>
    </w:rPr>
  </w:style>
  <w:style w:type="paragraph" w:customStyle="1" w:styleId="31">
    <w:name w:val="标题 1 New New New New New New New New New New New"/>
    <w:basedOn w:val="1"/>
    <w:next w:val="1"/>
    <w:qFormat/>
    <w:uiPriority w:val="0"/>
    <w:pPr>
      <w:keepNext/>
      <w:keepLines/>
      <w:tabs>
        <w:tab w:val="left" w:pos="420"/>
      </w:tabs>
      <w:spacing w:before="156" w:beforeLines="50" w:after="156" w:afterLines="50"/>
      <w:ind w:left="420" w:hanging="420"/>
      <w:jc w:val="center"/>
      <w:outlineLvl w:val="0"/>
    </w:pPr>
    <w:rPr>
      <w:rFonts w:eastAsia="黑体"/>
      <w:bCs/>
      <w:kern w:val="44"/>
      <w:szCs w:val="44"/>
    </w:rPr>
  </w:style>
  <w:style w:type="paragraph" w:customStyle="1" w:styleId="32">
    <w:name w:val="正文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33">
    <w:name w:val="标题 2 New New New New"/>
    <w:basedOn w:val="34"/>
    <w:next w:val="34"/>
    <w:qFormat/>
    <w:uiPriority w:val="0"/>
    <w:pPr>
      <w:keepNext/>
      <w:keepLines/>
      <w:tabs>
        <w:tab w:val="left" w:pos="930"/>
      </w:tabs>
      <w:outlineLvl w:val="1"/>
    </w:pPr>
    <w:rPr>
      <w:rFonts w:ascii="Arial" w:hAnsi="Arial" w:eastAsia="楷体_GB2312"/>
      <w:b/>
      <w:bCs/>
      <w:szCs w:val="32"/>
    </w:rPr>
  </w:style>
  <w:style w:type="paragraph" w:customStyle="1" w:styleId="34">
    <w:name w:val="正文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35">
    <w:name w:val="正文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36">
    <w:name w:val="正文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hint="eastAsia" w:ascii="Times New Roman" w:hAnsi="Times New Roman" w:eastAsia="仿宋_GB2312" w:cs="Times New Roman"/>
      <w:kern w:val="2"/>
      <w:sz w:val="32"/>
      <w:lang w:val="en-US" w:eastAsia="zh-CN" w:bidi="ar-SA"/>
    </w:rPr>
  </w:style>
  <w:style w:type="paragraph" w:customStyle="1" w:styleId="37">
    <w:name w:val="正文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38">
    <w:name w:val="正文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39">
    <w:name w:val="标题 2 New New New New New New"/>
    <w:basedOn w:val="20"/>
    <w:next w:val="20"/>
    <w:qFormat/>
    <w:uiPriority w:val="0"/>
    <w:pPr>
      <w:keepNext/>
      <w:keepLines/>
      <w:tabs>
        <w:tab w:val="left" w:pos="930"/>
      </w:tabs>
      <w:outlineLvl w:val="1"/>
    </w:pPr>
    <w:rPr>
      <w:rFonts w:ascii="Arial" w:hAnsi="Arial" w:eastAsia="楷体_GB2312"/>
      <w:b/>
      <w:bCs/>
      <w:szCs w:val="32"/>
    </w:rPr>
  </w:style>
  <w:style w:type="paragraph" w:customStyle="1" w:styleId="40">
    <w:name w:val="List Paragraph"/>
    <w:basedOn w:val="1"/>
    <w:qFormat/>
    <w:uiPriority w:val="0"/>
    <w:pPr>
      <w:ind w:firstLine="420" w:firstLineChars="200"/>
    </w:pPr>
    <w:rPr>
      <w:sz w:val="30"/>
      <w:szCs w:val="24"/>
    </w:rPr>
  </w:style>
  <w:style w:type="paragraph" w:customStyle="1" w:styleId="41">
    <w:name w:val="正文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42">
    <w:name w:val="正文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3">
    <w:name w:val="标题 2 New New New New New New New"/>
    <w:basedOn w:val="25"/>
    <w:next w:val="25"/>
    <w:qFormat/>
    <w:uiPriority w:val="0"/>
    <w:pPr>
      <w:keepNext/>
      <w:keepLines/>
      <w:tabs>
        <w:tab w:val="left" w:pos="930"/>
      </w:tabs>
      <w:outlineLvl w:val="1"/>
    </w:pPr>
    <w:rPr>
      <w:rFonts w:ascii="Arial" w:hAnsi="Arial" w:eastAsia="楷体_GB2312"/>
      <w:b/>
      <w:bCs/>
      <w:szCs w:val="32"/>
    </w:rPr>
  </w:style>
  <w:style w:type="paragraph" w:customStyle="1" w:styleId="44">
    <w:name w:val="正文 New New New New New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宋体" w:cs="Times New Roman"/>
      <w:kern w:val="2"/>
      <w:sz w:val="21"/>
      <w:szCs w:val="24"/>
      <w:lang w:val="en-US" w:eastAsia="zh-CN" w:bidi="ar-SA"/>
    </w:rPr>
  </w:style>
  <w:style w:type="paragraph" w:customStyle="1" w:styleId="45">
    <w:name w:val="正文 New New New New New New New New New New New New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46">
    <w:name w:val="正文 New New"/>
    <w:qFormat/>
    <w:uiPriority w:val="0"/>
    <w:pPr>
      <w:widowControl w:val="0"/>
      <w:jc w:val="both"/>
    </w:pPr>
    <w:rPr>
      <w:rFonts w:ascii="Times New Roman" w:hAnsi="Times New Roman" w:eastAsia="仿宋_GB2312" w:cs="Times New Roman"/>
      <w:kern w:val="2"/>
      <w:sz w:val="32"/>
      <w:lang w:val="en-US" w:eastAsia="zh-CN" w:bidi="ar-SA"/>
    </w:rPr>
  </w:style>
  <w:style w:type="paragraph" w:customStyle="1" w:styleId="47">
    <w:name w:val="正文 New New New New New New New New New New New New New New New New New New New New New New New New New New New New New New New New New New New New New"/>
    <w:qFormat/>
    <w:uiPriority w:val="0"/>
    <w:pPr>
      <w:widowControl w:val="0"/>
      <w:jc w:val="both"/>
    </w:pPr>
    <w:rPr>
      <w:rFonts w:ascii="Times New Roman" w:hAnsi="Times New Roman" w:eastAsia="仿宋_GB2312" w:cs="Times New Roman"/>
      <w:kern w:val="2"/>
      <w:sz w:val="32"/>
      <w:szCs w:val="24"/>
      <w:lang w:val="en-US" w:eastAsia="zh-CN" w:bidi="ar-SA"/>
    </w:rPr>
  </w:style>
  <w:style w:type="paragraph" w:customStyle="1" w:styleId="48">
    <w:name w:val="标题 2 New New New New New New New New"/>
    <w:basedOn w:val="35"/>
    <w:next w:val="35"/>
    <w:qFormat/>
    <w:uiPriority w:val="0"/>
    <w:pPr>
      <w:keepNext/>
      <w:keepLines/>
      <w:tabs>
        <w:tab w:val="left" w:pos="930"/>
      </w:tabs>
      <w:outlineLvl w:val="1"/>
    </w:pPr>
    <w:rPr>
      <w:rFonts w:ascii="Arial" w:hAnsi="Arial" w:eastAsia="楷体_GB2312"/>
      <w:b/>
      <w:bCs/>
      <w:szCs w:val="32"/>
    </w:rPr>
  </w:style>
  <w:style w:type="paragraph" w:customStyle="1" w:styleId="49">
    <w:name w:val="标题 1 New New New New New New"/>
    <w:basedOn w:val="35"/>
    <w:next w:val="35"/>
    <w:qFormat/>
    <w:uiPriority w:val="0"/>
    <w:pPr>
      <w:keepNext/>
      <w:keepLines/>
      <w:tabs>
        <w:tab w:val="left" w:pos="420"/>
      </w:tabs>
      <w:spacing w:before="156" w:beforeLines="50" w:after="156" w:afterLines="50"/>
      <w:ind w:left="420" w:hanging="420"/>
      <w:jc w:val="center"/>
      <w:outlineLvl w:val="0"/>
    </w:pPr>
    <w:rPr>
      <w:rFonts w:eastAsia="黑体"/>
      <w:bCs/>
      <w:kern w:val="44"/>
      <w:szCs w:val="44"/>
    </w:rPr>
  </w:style>
  <w:style w:type="paragraph" w:customStyle="1" w:styleId="50">
    <w:name w:val="标题 1 New New New New"/>
    <w:basedOn w:val="20"/>
    <w:next w:val="20"/>
    <w:qFormat/>
    <w:uiPriority w:val="0"/>
    <w:pPr>
      <w:keepNext/>
      <w:keepLines/>
      <w:tabs>
        <w:tab w:val="left" w:pos="420"/>
      </w:tabs>
      <w:spacing w:before="156" w:beforeLines="50" w:after="156" w:afterLines="50"/>
      <w:ind w:left="420" w:hanging="420"/>
      <w:jc w:val="center"/>
      <w:outlineLvl w:val="0"/>
    </w:pPr>
    <w:rPr>
      <w:rFonts w:eastAsia="黑体"/>
      <w:bCs/>
      <w:kern w:val="44"/>
      <w:szCs w:val="44"/>
    </w:rPr>
  </w:style>
  <w:style w:type="character" w:customStyle="1" w:styleId="51">
    <w:name w:val="标题 2 Char Char"/>
    <w:link w:val="23"/>
    <w:qFormat/>
    <w:uiPriority w:val="0"/>
    <w:rPr>
      <w:rFonts w:ascii="Arial" w:hAnsi="Arial" w:eastAsia="楷体_GB2312" w:cs="Times New Roman"/>
      <w:b/>
      <w:bCs/>
      <w:kern w:val="2"/>
      <w:sz w:val="32"/>
      <w:szCs w:val="32"/>
      <w:lang w:val="en-US" w:eastAsia="zh-CN" w:bidi="ar-SA"/>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3</TotalTime>
  <ScaleCrop>false</ScaleCrop>
  <LinksUpToDate>false</LinksUpToDate>
  <CharactersWithSpaces>0</CharactersWithSpaces>
  <Application>WPS Office_10.1.0.7469_F1E327BC-269C-435d-A152-05C5408002CA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2018-08-05T15:36:00Z</dcterms:created>
  <dc:creator>oumengxuan</dc:creator>
  <cp:lastModifiedBy>aj180425</cp:lastModifiedBy>
  <cp:lastPrinted>2018-09-26T03:06:00Z</cp:lastPrinted>
  <dcterms:modified xsi:type="dcterms:W3CDTF">2018-09-28T03:31:47Z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2052-10.1.0.7469</vt:lpwstr>
  </property>
</Properties>
</file>